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rtl w:val="0"/>
        </w:rPr>
        <w:t xml:space="preserve">PLANO DE ENSINO</w:t>
      </w:r>
      <w:r w:rsidDel="00000000" w:rsidR="00000000" w:rsidRPr="00000000">
        <w:rPr>
          <w:rtl w:val="0"/>
        </w:rPr>
      </w:r>
    </w:p>
    <w:p w:rsidR="00000000" w:rsidDel="00000000" w:rsidP="00000000" w:rsidRDefault="00000000" w:rsidRPr="00000000" w14:paraId="00000002">
      <w:pPr>
        <w:spacing w:line="240" w:lineRule="auto"/>
        <w:ind w:firstLine="0"/>
        <w:jc w:val="center"/>
        <w:rPr>
          <w:rFonts w:ascii="Times New Roman" w:cs="Times New Roman" w:eastAsia="Times New Roman" w:hAnsi="Times New Roman"/>
          <w:b w:val="0"/>
          <w:bCs w:val="0"/>
          <w:i w:val="0"/>
          <w:iCs w:val="0"/>
          <w:smallCaps w:val="0"/>
          <w:color w:val="000000"/>
          <w:sz w:val="24"/>
          <w:szCs w:val="24"/>
        </w:rPr>
      </w:pPr>
      <w:r w:rsidDel="00000000" w:rsidR="00000000" w:rsidRPr="00000000">
        <w:rPr>
          <w:rtl w:val="0"/>
        </w:rPr>
      </w:r>
    </w:p>
    <w:p w:rsidR="00000000" w:rsidDel="00000000" w:rsidP="00000000" w:rsidRDefault="00000000" w:rsidRPr="00000000" w14:paraId="00000003">
      <w:pPr>
        <w:spacing w:after="0" w:before="0" w:line="240" w:lineRule="auto"/>
        <w:ind w:left="0" w:firstLine="0"/>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Código:</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HIS0190</w:t>
      </w:r>
      <w:r w:rsidDel="00000000" w:rsidR="00000000" w:rsidRPr="00000000">
        <w:rPr>
          <w:rtl w:val="0"/>
        </w:rPr>
      </w:r>
    </w:p>
    <w:p w:rsidR="00000000" w:rsidDel="00000000" w:rsidP="00000000" w:rsidRDefault="00000000" w:rsidRPr="00000000" w14:paraId="00000004">
      <w:pPr>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Disciplina:</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w:t>
      </w:r>
      <w:r w:rsidDel="00000000" w:rsidR="00000000" w:rsidRPr="00000000">
        <w:rPr>
          <w:rFonts w:ascii="Times New Roman" w:cs="Times New Roman" w:eastAsia="Times New Roman" w:hAnsi="Times New Roman"/>
          <w:b w:val="1"/>
          <w:bCs w:val="1"/>
          <w:rtl w:val="0"/>
        </w:rPr>
        <w:t xml:space="preserve">Tópicos Especiais em História da América.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História Econômica das Américas. As crises de 1600 a 1900</w:t>
      </w:r>
      <w:r w:rsidDel="00000000" w:rsidR="00000000" w:rsidRPr="00000000">
        <w:rPr>
          <w:rtl w:val="0"/>
        </w:rPr>
      </w:r>
    </w:p>
    <w:p w:rsidR="00000000" w:rsidDel="00000000" w:rsidP="00000000" w:rsidRDefault="00000000" w:rsidRPr="00000000" w14:paraId="00000005">
      <w:pPr>
        <w:spacing w:after="0" w:before="0" w:line="240" w:lineRule="auto"/>
        <w:ind w:left="0" w:firstLine="0"/>
        <w:rPr>
          <w:rFonts w:ascii="Times New Roman" w:cs="Times New Roman" w:eastAsia="Times New Roman" w:hAnsi="Times New Roman"/>
          <w:b w:val="1"/>
          <w:bCs w:val="1"/>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Carga horária:</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60 horas / </w:t>
      </w: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Período letivo: </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2026</w:t>
      </w:r>
      <w:r w:rsidDel="00000000" w:rsidR="00000000" w:rsidRPr="00000000">
        <w:rPr>
          <w:rtl w:val="0"/>
        </w:rPr>
      </w:r>
    </w:p>
    <w:p w:rsidR="00000000" w:rsidDel="00000000" w:rsidP="00000000" w:rsidRDefault="00000000" w:rsidRPr="00000000" w14:paraId="00000006">
      <w:pPr>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tl w:val="0"/>
        </w:rPr>
      </w:r>
    </w:p>
    <w:p w:rsidR="00000000" w:rsidDel="00000000" w:rsidP="00000000" w:rsidRDefault="00000000" w:rsidRPr="00000000" w14:paraId="00000007">
      <w:pPr>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Docente:</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w:t>
      </w:r>
      <w:hyperlink r:id="rId7">
        <w:r w:rsidDel="00000000" w:rsidR="00000000" w:rsidRPr="00000000">
          <w:rPr>
            <w:rFonts w:ascii="Times New Roman" w:cs="Times New Roman" w:eastAsia="Times New Roman" w:hAnsi="Times New Roman"/>
            <w:color w:val="0000ee"/>
            <w:u w:val="single"/>
            <w:rtl w:val="0"/>
          </w:rPr>
          <w:t xml:space="preserve">Carlos Eduardo Valencia Villa</w:t>
        </w:r>
      </w:hyperlink>
      <w:r w:rsidDel="00000000" w:rsidR="00000000" w:rsidRPr="00000000">
        <w:rPr>
          <w:rtl w:val="0"/>
        </w:rPr>
      </w:r>
    </w:p>
    <w:p w:rsidR="00000000" w:rsidDel="00000000" w:rsidP="00000000" w:rsidRDefault="00000000" w:rsidRPr="00000000" w14:paraId="00000008">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E-mail:</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c</w:t>
      </w:r>
      <w:r w:rsidDel="00000000" w:rsidR="00000000" w:rsidRPr="00000000">
        <w:rPr>
          <w:rFonts w:ascii="Times New Roman" w:cs="Times New Roman" w:eastAsia="Times New Roman" w:hAnsi="Times New Roman"/>
          <w:rtl w:val="0"/>
        </w:rPr>
        <w:t xml:space="preserve">arlos.villa@unb.br</w:t>
      </w:r>
      <w:r w:rsidDel="00000000" w:rsidR="00000000" w:rsidRPr="00000000">
        <w:rPr>
          <w:rtl w:val="0"/>
        </w:rPr>
      </w:r>
    </w:p>
    <w:p w:rsidR="00000000" w:rsidDel="00000000" w:rsidP="00000000" w:rsidRDefault="00000000" w:rsidRPr="00000000" w14:paraId="00000009">
      <w:pPr>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tl w:val="0"/>
        </w:rPr>
      </w:r>
    </w:p>
    <w:p w:rsidR="00000000" w:rsidDel="00000000" w:rsidP="00000000" w:rsidRDefault="00000000" w:rsidRPr="00000000" w14:paraId="0000000A">
      <w:pPr>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Monitores: </w:t>
      </w:r>
      <w:r w:rsidDel="00000000" w:rsidR="00000000" w:rsidRPr="00000000">
        <w:rPr>
          <w:rtl w:val="0"/>
        </w:rPr>
      </w:r>
    </w:p>
    <w:p w:rsidR="00000000" w:rsidDel="00000000" w:rsidP="00000000" w:rsidRDefault="00000000" w:rsidRPr="00000000" w14:paraId="0000000B">
      <w:pPr>
        <w:spacing w:after="0" w:before="0" w:line="240" w:lineRule="auto"/>
        <w:ind w:left="0" w:firstLine="0"/>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E-mail:</w:t>
      </w:r>
      <w:r w:rsidDel="00000000" w:rsidR="00000000" w:rsidRPr="00000000">
        <w:rPr>
          <w:rtl w:val="0"/>
        </w:rPr>
      </w:r>
    </w:p>
    <w:p w:rsidR="00000000" w:rsidDel="00000000" w:rsidP="00000000" w:rsidRDefault="00000000" w:rsidRPr="00000000" w14:paraId="0000000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line="276" w:lineRule="auto"/>
        <w:ind w:firstLine="0"/>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00"/>
        <w:tblGridChange w:id="0">
          <w:tblGrid>
            <w:gridCol w:w="9000"/>
          </w:tblGrid>
        </w:tblGridChange>
      </w:tblGrid>
      <w:tr>
        <w:trPr>
          <w:cantSplit w:val="0"/>
          <w:trHeight w:val="300" w:hRule="atLeast"/>
          <w:tblHeader w:val="0"/>
        </w:trPr>
        <w:tc>
          <w:tcPr/>
          <w:p w:rsidR="00000000" w:rsidDel="00000000" w:rsidP="00000000" w:rsidRDefault="00000000" w:rsidRPr="00000000" w14:paraId="0000000D">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Turma: </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01</w:t>
            </w:r>
          </w:p>
          <w:p w:rsidR="00000000" w:rsidDel="00000000" w:rsidP="00000000" w:rsidRDefault="00000000" w:rsidRPr="00000000" w14:paraId="0000000E">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Sala de aula: </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A definir</w:t>
            </w:r>
          </w:p>
          <w:p w:rsidR="00000000" w:rsidDel="00000000" w:rsidP="00000000" w:rsidRDefault="00000000" w:rsidRPr="00000000" w14:paraId="0000000F">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Horário de aulas: </w:t>
            </w:r>
            <w:r w:rsidDel="00000000" w:rsidR="00000000" w:rsidRPr="00000000">
              <w:rPr>
                <w:rtl w:val="0"/>
              </w:rPr>
            </w:r>
          </w:p>
          <w:p w:rsidR="00000000" w:rsidDel="00000000" w:rsidP="00000000" w:rsidRDefault="00000000" w:rsidRPr="00000000" w14:paraId="00000010">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Atendimento docente: </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Caso solicitado, ao combinar um horário.</w:t>
            </w:r>
          </w:p>
          <w:p w:rsidR="00000000" w:rsidDel="00000000" w:rsidP="00000000" w:rsidRDefault="00000000" w:rsidRPr="00000000" w14:paraId="00000011">
            <w:pPr>
              <w:widowControl w:val="1"/>
              <w:spacing w:after="0" w:before="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Pasta de materiais de apoio: </w:t>
            </w:r>
            <w:hyperlink r:id="rId8">
              <w:r w:rsidDel="00000000" w:rsidR="00000000" w:rsidRPr="00000000">
                <w:rPr>
                  <w:rFonts w:ascii="Times New Roman" w:cs="Times New Roman" w:eastAsia="Times New Roman" w:hAnsi="Times New Roman"/>
                  <w:b w:val="1"/>
                  <w:bCs w:val="1"/>
                  <w:i w:val="0"/>
                  <w:iCs w:val="0"/>
                  <w:smallCaps w:val="0"/>
                  <w:color w:val="1155cc"/>
                  <w:sz w:val="24"/>
                  <w:szCs w:val="24"/>
                  <w:u w:val="single"/>
                  <w:rtl w:val="0"/>
                </w:rPr>
                <w:t xml:space="preserve">https://drive.google.com/drive/folders/1lT6gZItZf9Xl_4ibaCWaofHkEY6-iNCh?usp=drive_link</w:t>
              </w:r>
            </w:hyperlink>
            <w:r w:rsidDel="00000000" w:rsidR="00000000" w:rsidRPr="00000000">
              <w:rPr>
                <w:rtl w:val="0"/>
              </w:rPr>
            </w:r>
          </w:p>
        </w:tc>
      </w:tr>
    </w:tbl>
    <w:p w:rsidR="00000000" w:rsidDel="00000000" w:rsidP="00000000" w:rsidRDefault="00000000" w:rsidRPr="00000000" w14:paraId="00000012">
      <w:pPr>
        <w:spacing w:after="0" w:before="0" w:line="240" w:lineRule="auto"/>
        <w:ind w:left="0" w:firstLine="0"/>
        <w:jc w:val="both"/>
        <w:rPr>
          <w:rFonts w:ascii="UnB Office" w:cs="UnB Office" w:eastAsia="UnB Office" w:hAnsi="UnB Office"/>
        </w:rPr>
      </w:pPr>
      <w:r w:rsidDel="00000000" w:rsidR="00000000" w:rsidRPr="00000000">
        <w:rPr>
          <w:rtl w:val="0"/>
        </w:rPr>
      </w:r>
    </w:p>
    <w:tbl>
      <w:tblPr>
        <w:tblStyle w:val="Table2"/>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13">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1"/>
                <w:bCs w:val="1"/>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Ementa</w:t>
            </w:r>
          </w:p>
          <w:p w:rsidR="00000000" w:rsidDel="00000000" w:rsidP="00000000" w:rsidRDefault="00000000" w:rsidRPr="00000000" w14:paraId="00000014">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começa uma crise econômica? Agora uma pergunta mais difícil ainda: Quando termina a crise? A história do mundo contemporâneo parece uma sequência de crises econômicas. A percepção que a crise passou só fica clara quando explode a seguinte crise. A modernidade se inicia com o descobrimento da América, o que acontece no meio de uma crise, depois, quando os metais preciosos se exportam em imensas quantidades, todo o Occidente é arrasado pela crise do aumento dos preços. Essa inflação só parece se deter quando a fome do século XVII toma Europa e com ela emergem as primeiras revoluções modernas, que se estendem até o século XVIII. </w:t>
            </w:r>
          </w:p>
          <w:p w:rsidR="00000000" w:rsidDel="00000000" w:rsidP="00000000" w:rsidRDefault="00000000" w:rsidRPr="00000000" w14:paraId="00000015">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 nesse momento, todo o Atlântico se lança ao Reformismo, para superar a crise. O que leva a um dos grandes ápices da modernidade: a Revolução Industrial, que ocorre em meio a uma onda de crises econômicas que trazem consigo as revoluções americana, francesa, haitiana e em toda latinoamérica. Como resultado, nascem novas instituições, definidas pela democracia e a república, que nas suas primeiras décadas enfrentam crises financeiras que chegam a questionar a própria existência dessas repúblicas e democracias. Mas, mesmo com toda essa sequência, muitas vezes se postula que a crise de 1857 foi a primeira a acontecer, só porque depois dela, viram outro sem número de crises.</w:t>
            </w:r>
          </w:p>
          <w:p w:rsidR="00000000" w:rsidDel="00000000" w:rsidP="00000000" w:rsidRDefault="00000000" w:rsidRPr="00000000" w14:paraId="00000016">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recorrência de crise traz crise mostra que a economia tem autonomia? Ou seja, suas próprias variáveis, como a dotação de fatores (descobrimento de minas, ampliação da fronteira agrícola, etc.) ou a relação entre as dimensões puramente econômicas (relação entre investimento - depreciação, rendimentos marginalmente decrescentes, etc.) geram as crises? Portanto, será que do econômico se passa à política, à ciência e à estética? </w:t>
            </w:r>
          </w:p>
          <w:p w:rsidR="00000000" w:rsidDel="00000000" w:rsidP="00000000" w:rsidRDefault="00000000" w:rsidRPr="00000000" w14:paraId="00000017">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 pelo contrário, das dimensões política, tecnológica ou estética se desdobram as crises econômicas? A resposta pode ser que cada crise parece ter construído seu próprio percurso entre política, tecnologia, estética e economia. </w:t>
            </w:r>
          </w:p>
          <w:p w:rsidR="00000000" w:rsidDel="00000000" w:rsidP="00000000" w:rsidRDefault="00000000" w:rsidRPr="00000000" w14:paraId="00000018">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rtl w:val="0"/>
              </w:rPr>
              <w:t xml:space="preserve">Nesta disciplina se examinam cinco crises do mundo moderno: a revolução dos preços, a fome do Seiscentos, o colapso dos impérios atlânticos, o fim do circuito global da prata e por último, a primeira gerada pela falência do sistema de intermediação financeira. Assim, se percorre o mundo moderno, de 1580 a 1864, pelo caminho da catástrofe. </w:t>
            </w:r>
            <w:r w:rsidDel="00000000" w:rsidR="00000000" w:rsidRPr="00000000">
              <w:rPr>
                <w:rtl w:val="0"/>
              </w:rPr>
            </w:r>
          </w:p>
        </w:tc>
      </w:tr>
    </w:tbl>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240" w:lineRule="auto"/>
        <w:ind w:lef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3"/>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1A">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1"/>
                <w:bCs w:val="1"/>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Objetivos</w:t>
            </w:r>
          </w:p>
          <w:p w:rsidR="00000000" w:rsidDel="00000000" w:rsidP="00000000" w:rsidRDefault="00000000" w:rsidRPr="00000000" w14:paraId="0000001B">
            <w:pPr>
              <w:widowControl w:val="1"/>
              <w:numPr>
                <w:ilvl w:val="0"/>
                <w:numId w:val="7"/>
              </w:numPr>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Estudar cinco crises econômicas: 1580-1640 (revolução dos preços), 1640-1710 (fome do Seiscentos), 1770-1820 (colapso dos impérios atlânticos), 1830-1850 (fim do circuito global da prata) e 1854-1864 (falência do sistema de intermediação financeira global)</w:t>
            </w:r>
          </w:p>
          <w:p w:rsidR="00000000" w:rsidDel="00000000" w:rsidP="00000000" w:rsidRDefault="00000000" w:rsidRPr="00000000" w14:paraId="0000001C">
            <w:pPr>
              <w:widowControl w:val="1"/>
              <w:numPr>
                <w:ilvl w:val="0"/>
                <w:numId w:val="7"/>
              </w:numPr>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Explicar a relação entre os problemas econômicos e as tensões políticas, tecnológicas e estéticas nessas crises.</w:t>
            </w:r>
          </w:p>
          <w:p w:rsidR="00000000" w:rsidDel="00000000" w:rsidP="00000000" w:rsidRDefault="00000000" w:rsidRPr="00000000" w14:paraId="0000001D">
            <w:pPr>
              <w:widowControl w:val="1"/>
              <w:numPr>
                <w:ilvl w:val="0"/>
                <w:numId w:val="7"/>
              </w:numPr>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Ler algumas das obras de referência em História Econômica</w:t>
            </w:r>
          </w:p>
          <w:p w:rsidR="00000000" w:rsidDel="00000000" w:rsidP="00000000" w:rsidRDefault="00000000" w:rsidRPr="00000000" w14:paraId="0000001E">
            <w:pPr>
              <w:widowControl w:val="1"/>
              <w:numPr>
                <w:ilvl w:val="0"/>
                <w:numId w:val="7"/>
              </w:numPr>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Aproximar-se aos métodos quantitativos em História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r>
    </w:tbl>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4"/>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20">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Metodologia</w:t>
            </w:r>
            <w:r w:rsidDel="00000000" w:rsidR="00000000" w:rsidRPr="00000000">
              <w:rPr>
                <w:rtl w:val="0"/>
              </w:rPr>
            </w:r>
          </w:p>
          <w:p w:rsidR="00000000" w:rsidDel="00000000" w:rsidP="00000000" w:rsidRDefault="00000000" w:rsidRPr="00000000" w14:paraId="00000021">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disciplina está organizada nas cinco crises que se abordam. Para cada aula o aluno deve ler o texto que corresponde no plano de aula. Se desejar, pode agregar as leituras complementares que se informa para cada crise. As aulas se concentram em discutir esses textos.</w:t>
            </w:r>
          </w:p>
          <w:p w:rsidR="00000000" w:rsidDel="00000000" w:rsidP="00000000" w:rsidRDefault="00000000" w:rsidRPr="00000000" w14:paraId="00000022">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começo da unidade há uma aula em que o texto a ser estudado explica elementos metodológicos da História Quantitativa. Esses textos estão em sequência de dificuldade, do simples ao relativamente complexo. Portanto, não necessariamente auxiliam diretamente no tema da unidade, mas se espera que no final do curso esses elementos metodológicos permitam uma melhor compreensão das crises econômicas.</w:t>
            </w:r>
          </w:p>
          <w:p w:rsidR="00000000" w:rsidDel="00000000" w:rsidP="00000000" w:rsidRDefault="00000000" w:rsidRPr="00000000" w14:paraId="00000023">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No final da unidade há uma atividade avaliativa. Para sua realização os alunos devem propor uma relação entre as leituras da unidade com uma, ou várias, obras dos acervos on-line que se disponibilizam neste programa. Estes acervos são de arte contemporânea. Se espera que o aluno apresente um vínculo entre a crise econômica que se estudou na unidade com um ou vários elementos estéticos. Esse vínculo pode ser, por exemplo, a arte como representação, como contraste, como explicação ou como paralelismo. Esse vínculo entre arte e crise será enviado num arquivo de áudio e a imagem (ou imagens) da obra para uma pasta virtual, na qual todos os alunos têm acesso. Esse envio pode ser feito ao longo da unidade. Na última aula de cada unidade se escolhem algumas dessas atividades para serem discutidas em sala.</w:t>
            </w:r>
            <w:r w:rsidDel="00000000" w:rsidR="00000000" w:rsidRPr="00000000">
              <w:rPr>
                <w:rtl w:val="0"/>
              </w:rPr>
            </w:r>
          </w:p>
        </w:tc>
      </w:tr>
    </w:tbl>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240" w:lineRule="auto"/>
        <w:ind w:lef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5"/>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25">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Avaliação</w:t>
            </w:r>
            <w:r w:rsidDel="00000000" w:rsidR="00000000" w:rsidRPr="00000000">
              <w:rPr>
                <w:rtl w:val="0"/>
              </w:rPr>
            </w:r>
          </w:p>
          <w:p w:rsidR="00000000" w:rsidDel="00000000" w:rsidP="00000000" w:rsidRDefault="00000000" w:rsidRPr="00000000" w14:paraId="00000026">
            <w:pPr>
              <w:widowControl w:val="1"/>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Cinco avaliações, uma para cada crise: 20% cada. </w:t>
            </w:r>
          </w:p>
          <w:p w:rsidR="00000000" w:rsidDel="00000000" w:rsidP="00000000" w:rsidRDefault="00000000" w:rsidRPr="00000000" w14:paraId="00000027">
            <w:pPr>
              <w:widowControl w:val="1"/>
              <w:spacing w:after="0" w:before="0" w:line="240" w:lineRule="auto"/>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rtl w:val="0"/>
              </w:rPr>
              <w:t xml:space="preserve">A avaliação será no final de cada unidade. Cada aluno envia um arquivo de áudio em que apresenta o vínculo que postula entre a crise estudada na unidade com uma ou várias obras de arte dos acervos on-line disponibilizados. Esse envio é para a pasta virtual da disciplina na qual todos os alunos têm acesso. Na última aula, todos os alunos dão nota para todos os áudios. A média da nota dos alunos equivale a 50% da nota dessa atividade. O outro 50% será dado pelo professor.</w:t>
            </w:r>
            <w:r w:rsidDel="00000000" w:rsidR="00000000" w:rsidRPr="00000000">
              <w:rPr>
                <w:rtl w:val="0"/>
              </w:rPr>
            </w:r>
          </w:p>
        </w:tc>
      </w:tr>
    </w:tbl>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240" w:lineRule="auto"/>
        <w:ind w:left="0" w:firstLine="0"/>
        <w:jc w:val="both"/>
        <w:rPr>
          <w:rFonts w:ascii="Times New Roman" w:cs="Times New Roman" w:eastAsia="Times New Roman" w:hAnsi="Times New Roman"/>
          <w:b w:val="0"/>
          <w:bCs w:val="0"/>
          <w:i w:val="0"/>
          <w:iCs w:val="0"/>
          <w:smallCaps w:val="0"/>
          <w:color w:val="000000"/>
          <w:sz w:val="24"/>
          <w:szCs w:val="24"/>
        </w:rPr>
      </w:pPr>
      <w:r w:rsidDel="00000000" w:rsidR="00000000" w:rsidRPr="00000000">
        <w:rPr>
          <w:rtl w:val="0"/>
        </w:rPr>
      </w:r>
    </w:p>
    <w:tbl>
      <w:tblPr>
        <w:tblStyle w:val="Table6"/>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29">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b w:val="0"/>
                <w:bCs w:val="0"/>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Frequência</w:t>
            </w:r>
            <w:r w:rsidDel="00000000" w:rsidR="00000000" w:rsidRPr="00000000">
              <w:rPr>
                <w:rtl w:val="0"/>
              </w:rPr>
            </w:r>
          </w:p>
          <w:p w:rsidR="00000000" w:rsidDel="00000000" w:rsidP="00000000" w:rsidRDefault="00000000" w:rsidRPr="00000000" w14:paraId="0000002A">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i w:val="0"/>
                <w:iCs w:val="0"/>
                <w:smallCaps w:val="0"/>
                <w:color w:val="000000"/>
                <w:sz w:val="24"/>
                <w:szCs w:val="24"/>
              </w:rPr>
            </w:pPr>
            <w:r w:rsidDel="00000000" w:rsidR="00000000" w:rsidRPr="00000000">
              <w:rPr>
                <w:rFonts w:ascii="Times New Roman" w:cs="Times New Roman" w:eastAsia="Times New Roman" w:hAnsi="Times New Roman"/>
                <w:rtl w:val="0"/>
              </w:rPr>
              <w:t xml:space="preserve">A exigida pela universidade</w:t>
            </w:r>
            <w:r w:rsidDel="00000000" w:rsidR="00000000" w:rsidRPr="00000000">
              <w:rPr>
                <w:rtl w:val="0"/>
              </w:rPr>
            </w:r>
          </w:p>
          <w:p w:rsidR="00000000" w:rsidDel="00000000" w:rsidP="00000000" w:rsidRDefault="00000000" w:rsidRPr="00000000" w14:paraId="0000002B">
            <w:pPr>
              <w:widowControl w:val="1"/>
              <w:spacing w:after="0" w:before="0" w:line="240" w:lineRule="auto"/>
              <w:jc w:val="both"/>
              <w:rPr>
                <w:rFonts w:ascii="Times New Roman" w:cs="Times New Roman" w:eastAsia="Times New Roman" w:hAnsi="Times New Roman"/>
                <w:b w:val="0"/>
                <w:bCs w:val="0"/>
                <w:i w:val="0"/>
                <w:iCs w:val="0"/>
                <w:strike w:val="0"/>
                <w:color w:val="000000"/>
                <w:sz w:val="24"/>
                <w:szCs w:val="24"/>
                <w:u w:val="single"/>
              </w:rPr>
            </w:pPr>
            <w:r w:rsidDel="00000000" w:rsidR="00000000" w:rsidRPr="00000000">
              <w:rPr>
                <w:rtl w:val="0"/>
              </w:rPr>
            </w:r>
          </w:p>
        </w:tc>
      </w:tr>
    </w:tbl>
    <w:p w:rsidR="00000000" w:rsidDel="00000000" w:rsidP="00000000" w:rsidRDefault="00000000" w:rsidRPr="00000000" w14:paraId="0000002C">
      <w:pPr>
        <w:spacing w:after="0" w:before="0" w:line="240" w:lineRule="auto"/>
        <w:ind w:left="0" w:righ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7"/>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2865" w:hRule="atLeast"/>
          <w:tblHeader w:val="0"/>
        </w:trPr>
        <w:tc>
          <w:tcPr/>
          <w:p w:rsidR="00000000" w:rsidDel="00000000" w:rsidP="00000000" w:rsidRDefault="00000000" w:rsidRPr="00000000" w14:paraId="0000002D">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right="0" w:firstLine="0"/>
              <w:jc w:val="both"/>
              <w:rPr>
                <w:rFonts w:ascii="Times New Roman" w:cs="Times New Roman" w:eastAsia="Times New Roman" w:hAnsi="Times New Roman"/>
                <w:b w:val="1"/>
                <w:bCs w:val="1"/>
                <w:i w:val="0"/>
                <w:iCs w:val="0"/>
                <w:smallCaps w:val="0"/>
                <w:color w:val="000000"/>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Bibliografia Básica</w:t>
            </w:r>
          </w:p>
          <w:p w:rsidR="00000000" w:rsidDel="00000000" w:rsidP="00000000" w:rsidRDefault="00000000" w:rsidRPr="00000000" w14:paraId="0000002E">
            <w:pPr>
              <w:widowControl w:val="1"/>
              <w:tabs>
                <w:tab w:val="left" w:leader="none" w:pos="708"/>
                <w:tab w:val="left" w:leader="none" w:pos="1416"/>
                <w:tab w:val="left" w:leader="none" w:pos="2124"/>
                <w:tab w:val="left" w:leader="none" w:pos="2832"/>
                <w:tab w:val="left" w:leader="none" w:pos="3540"/>
                <w:tab w:val="left" w:leader="none" w:pos="4248"/>
              </w:tabs>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Cada aula no plano de atividades informa a bibliografia básica.</w:t>
            </w:r>
            <w:r w:rsidDel="00000000" w:rsidR="00000000" w:rsidRPr="00000000">
              <w:rPr>
                <w:rtl w:val="0"/>
              </w:rPr>
            </w:r>
          </w:p>
          <w:p w:rsidR="00000000" w:rsidDel="00000000" w:rsidP="00000000" w:rsidRDefault="00000000" w:rsidRPr="00000000" w14:paraId="0000002F">
            <w:pPr>
              <w:spacing w:after="20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spacing w:after="20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Acervos on-line de obrigatória consulta:</w:t>
            </w:r>
          </w:p>
          <w:p w:rsidR="00000000" w:rsidDel="00000000" w:rsidP="00000000" w:rsidRDefault="00000000" w:rsidRPr="00000000" w14:paraId="00000031">
            <w:pPr>
              <w:numPr>
                <w:ilvl w:val="0"/>
                <w:numId w:val="5"/>
              </w:numPr>
              <w:spacing w:after="0" w:after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 New York: </w:t>
            </w:r>
            <w:hyperlink r:id="rId9">
              <w:r w:rsidDel="00000000" w:rsidR="00000000" w:rsidRPr="00000000">
                <w:rPr>
                  <w:rFonts w:ascii="Times New Roman" w:cs="Times New Roman" w:eastAsia="Times New Roman" w:hAnsi="Times New Roman"/>
                  <w:color w:val="1155cc"/>
                  <w:u w:val="single"/>
                  <w:rtl w:val="0"/>
                </w:rPr>
                <w:t xml:space="preserve">https://www.metmuseum.org/es/art/collection</w:t>
              </w:r>
            </w:hyperlink>
            <w:r w:rsidDel="00000000" w:rsidR="00000000" w:rsidRPr="00000000">
              <w:rPr>
                <w:rtl w:val="0"/>
              </w:rPr>
            </w:r>
          </w:p>
          <w:p w:rsidR="00000000" w:rsidDel="00000000" w:rsidP="00000000" w:rsidRDefault="00000000" w:rsidRPr="00000000" w14:paraId="00000032">
            <w:pPr>
              <w:numPr>
                <w:ilvl w:val="0"/>
                <w:numId w:val="5"/>
              </w:numPr>
              <w:spacing w:after="0" w:after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Museo de Arte Contemporáneo de Puerto Rico: </w:t>
            </w:r>
            <w:hyperlink r:id="rId10">
              <w:r w:rsidDel="00000000" w:rsidR="00000000" w:rsidRPr="00000000">
                <w:rPr>
                  <w:rFonts w:ascii="Times New Roman" w:cs="Times New Roman" w:eastAsia="Times New Roman" w:hAnsi="Times New Roman"/>
                  <w:color w:val="1155cc"/>
                  <w:u w:val="single"/>
                  <w:rtl w:val="0"/>
                </w:rPr>
                <w:t xml:space="preserve">https://www.museomac.org/arte/exhibiciones</w:t>
              </w:r>
            </w:hyperlink>
            <w:r w:rsidDel="00000000" w:rsidR="00000000" w:rsidRPr="00000000">
              <w:rPr>
                <w:rtl w:val="0"/>
              </w:rPr>
            </w:r>
          </w:p>
          <w:p w:rsidR="00000000" w:rsidDel="00000000" w:rsidP="00000000" w:rsidRDefault="00000000" w:rsidRPr="00000000" w14:paraId="00000033">
            <w:pPr>
              <w:numPr>
                <w:ilvl w:val="0"/>
                <w:numId w:val="5"/>
              </w:numPr>
              <w:spacing w:after="0" w:after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Botero, Bogotá: </w:t>
            </w:r>
            <w:hyperlink r:id="rId11">
              <w:r w:rsidDel="00000000" w:rsidR="00000000" w:rsidRPr="00000000">
                <w:rPr>
                  <w:rFonts w:ascii="Times New Roman" w:cs="Times New Roman" w:eastAsia="Times New Roman" w:hAnsi="Times New Roman"/>
                  <w:color w:val="1155cc"/>
                  <w:u w:val="single"/>
                  <w:rtl w:val="0"/>
                </w:rPr>
                <w:t xml:space="preserve">https://colecciones.banrepcultural.org/es/pagina/coleccion-de-arte/6357aa7ae27d753f221c618d</w:t>
              </w:r>
            </w:hyperlink>
            <w:r w:rsidDel="00000000" w:rsidR="00000000" w:rsidRPr="00000000">
              <w:rPr>
                <w:rtl w:val="0"/>
              </w:rPr>
            </w:r>
          </w:p>
          <w:p w:rsidR="00000000" w:rsidDel="00000000" w:rsidP="00000000" w:rsidRDefault="00000000" w:rsidRPr="00000000" w14:paraId="00000034">
            <w:pPr>
              <w:numPr>
                <w:ilvl w:val="0"/>
                <w:numId w:val="5"/>
              </w:numPr>
              <w:spacing w:after="0" w:after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Museo Arte Contemporáneo de Lima:  </w:t>
            </w:r>
            <w:hyperlink r:id="rId12">
              <w:r w:rsidDel="00000000" w:rsidR="00000000" w:rsidRPr="00000000">
                <w:rPr>
                  <w:rFonts w:ascii="Times New Roman" w:cs="Times New Roman" w:eastAsia="Times New Roman" w:hAnsi="Times New Roman"/>
                  <w:color w:val="1155cc"/>
                  <w:u w:val="single"/>
                  <w:rtl w:val="0"/>
                </w:rPr>
                <w:t xml:space="preserve">https://maclima.pe/exposiciones/</w:t>
              </w:r>
            </w:hyperlink>
            <w:r w:rsidDel="00000000" w:rsidR="00000000" w:rsidRPr="00000000">
              <w:rPr>
                <w:rtl w:val="0"/>
              </w:rPr>
            </w:r>
          </w:p>
          <w:p w:rsidR="00000000" w:rsidDel="00000000" w:rsidP="00000000" w:rsidRDefault="00000000" w:rsidRPr="00000000" w14:paraId="00000035">
            <w:pPr>
              <w:numPr>
                <w:ilvl w:val="0"/>
                <w:numId w:val="5"/>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Malba, Buenos Aires: </w:t>
            </w:r>
            <w:hyperlink r:id="rId13">
              <w:r w:rsidDel="00000000" w:rsidR="00000000" w:rsidRPr="00000000">
                <w:rPr>
                  <w:rFonts w:ascii="Times New Roman" w:cs="Times New Roman" w:eastAsia="Times New Roman" w:hAnsi="Times New Roman"/>
                  <w:color w:val="1155cc"/>
                  <w:u w:val="single"/>
                  <w:rtl w:val="0"/>
                </w:rPr>
                <w:t xml:space="preserve">https://malba.org.ar/</w:t>
              </w:r>
            </w:hyperlink>
            <w:r w:rsidDel="00000000" w:rsidR="00000000" w:rsidRPr="00000000">
              <w:rPr>
                <w:rtl w:val="0"/>
              </w:rPr>
            </w:r>
          </w:p>
        </w:tc>
      </w:tr>
    </w:tbl>
    <w:p w:rsidR="00000000" w:rsidDel="00000000" w:rsidP="00000000" w:rsidRDefault="00000000" w:rsidRPr="00000000" w14:paraId="00000036">
      <w:pPr>
        <w:spacing w:after="0" w:before="0" w:line="240" w:lineRule="auto"/>
        <w:ind w:left="0" w:righ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p w:rsidR="00000000" w:rsidDel="00000000" w:rsidP="00000000" w:rsidRDefault="00000000" w:rsidRPr="00000000" w14:paraId="00000037">
      <w:pPr>
        <w:spacing w:after="0" w:before="0" w:line="240" w:lineRule="auto"/>
        <w:ind w:left="0" w:right="0" w:firstLine="0"/>
        <w:jc w:val="both"/>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8"/>
        <w:tblW w:w="90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64"/>
        <w:gridCol w:w="736"/>
        <w:gridCol w:w="1185"/>
        <w:gridCol w:w="6386"/>
        <w:tblGridChange w:id="0">
          <w:tblGrid>
            <w:gridCol w:w="764"/>
            <w:gridCol w:w="736"/>
            <w:gridCol w:w="1185"/>
            <w:gridCol w:w="6386"/>
          </w:tblGrid>
        </w:tblGridChange>
      </w:tblGrid>
      <w:tr>
        <w:trPr>
          <w:cantSplit w:val="0"/>
          <w:trHeight w:val="300" w:hRule="atLeast"/>
          <w:tblHeader w:val="0"/>
        </w:trPr>
        <w:tc>
          <w:tcPr>
            <w:tcBorders>
              <w:top w:color="000000" w:space="0" w:sz="6" w:val="single"/>
            </w:tcBorders>
            <w:shd w:fill="d1d1d1" w:val="clear"/>
          </w:tcPr>
          <w:p w:rsidR="00000000" w:rsidDel="00000000" w:rsidP="00000000" w:rsidRDefault="00000000" w:rsidRPr="00000000" w14:paraId="00000038">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Aula</w:t>
            </w:r>
            <w:r w:rsidDel="00000000" w:rsidR="00000000" w:rsidRPr="00000000">
              <w:rPr>
                <w:rtl w:val="0"/>
              </w:rPr>
            </w:r>
          </w:p>
        </w:tc>
        <w:tc>
          <w:tcPr>
            <w:tcBorders>
              <w:top w:color="000000" w:space="0" w:sz="6" w:val="single"/>
            </w:tcBorders>
            <w:shd w:fill="d1d1d1" w:val="clear"/>
          </w:tcPr>
          <w:p w:rsidR="00000000" w:rsidDel="00000000" w:rsidP="00000000" w:rsidRDefault="00000000" w:rsidRPr="00000000" w14:paraId="00000039">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C.H.</w:t>
            </w:r>
            <w:r w:rsidDel="00000000" w:rsidR="00000000" w:rsidRPr="00000000">
              <w:rPr>
                <w:rtl w:val="0"/>
              </w:rPr>
            </w:r>
          </w:p>
        </w:tc>
        <w:tc>
          <w:tcPr>
            <w:tcBorders>
              <w:top w:color="000000" w:space="0" w:sz="6" w:val="single"/>
            </w:tcBorders>
            <w:shd w:fill="d1d1d1" w:val="clear"/>
          </w:tcPr>
          <w:p w:rsidR="00000000" w:rsidDel="00000000" w:rsidP="00000000" w:rsidRDefault="00000000" w:rsidRPr="00000000" w14:paraId="0000003A">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Data</w:t>
            </w:r>
            <w:r w:rsidDel="00000000" w:rsidR="00000000" w:rsidRPr="00000000">
              <w:rPr>
                <w:rtl w:val="0"/>
              </w:rPr>
            </w:r>
          </w:p>
        </w:tc>
        <w:tc>
          <w:tcPr>
            <w:tcBorders>
              <w:top w:color="000000" w:space="0" w:sz="6" w:val="single"/>
            </w:tcBorders>
            <w:shd w:fill="d1d1d1" w:val="clear"/>
          </w:tcPr>
          <w:p w:rsidR="00000000" w:rsidDel="00000000" w:rsidP="00000000" w:rsidRDefault="00000000" w:rsidRPr="00000000" w14:paraId="0000003B">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Atividade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3C">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w:t>
            </w:r>
          </w:p>
        </w:tc>
        <w:tc>
          <w:tcPr>
            <w:vAlign w:val="center"/>
          </w:tcPr>
          <w:p w:rsidR="00000000" w:rsidDel="00000000" w:rsidP="00000000" w:rsidRDefault="00000000" w:rsidRPr="00000000" w14:paraId="0000003D">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3E">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3F">
            <w:pPr>
              <w:spacing w:line="276" w:lineRule="auto"/>
              <w:rPr>
                <w:rFonts w:ascii="Times New Roman" w:cs="Times New Roman" w:eastAsia="Times New Roman" w:hAnsi="Times New Roman"/>
                <w:b w:val="1"/>
                <w:bCs w:val="1"/>
                <w:i w:val="0"/>
                <w:iCs w:val="0"/>
                <w:strike w:val="0"/>
                <w:color w:val="000000"/>
                <w:sz w:val="22"/>
                <w:szCs w:val="22"/>
                <w:u w:val="single"/>
              </w:rPr>
            </w:pPr>
            <w:r w:rsidDel="00000000" w:rsidR="00000000" w:rsidRPr="00000000">
              <w:rPr>
                <w:rFonts w:ascii="Times New Roman" w:cs="Times New Roman" w:eastAsia="Times New Roman" w:hAnsi="Times New Roman"/>
                <w:rtl w:val="0"/>
              </w:rPr>
              <w:t xml:space="preserve">Os termos</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40">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w:t>
            </w:r>
          </w:p>
        </w:tc>
        <w:tc>
          <w:tcPr>
            <w:vAlign w:val="center"/>
          </w:tcPr>
          <w:p w:rsidR="00000000" w:rsidDel="00000000" w:rsidP="00000000" w:rsidRDefault="00000000" w:rsidRPr="00000000" w14:paraId="00000041">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42">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4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Crise 1: 1580-1640. Revolução dos Preços</w:t>
            </w:r>
            <w:r w:rsidDel="00000000" w:rsidR="00000000" w:rsidRPr="00000000">
              <w:rPr>
                <w:rtl w:val="0"/>
              </w:rPr>
            </w:r>
          </w:p>
          <w:p w:rsidR="00000000" w:rsidDel="00000000" w:rsidP="00000000" w:rsidRDefault="00000000" w:rsidRPr="00000000" w14:paraId="0000004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Assuntos metodológicos 1: O quantitativo em História</w:t>
            </w:r>
          </w:p>
          <w:p w:rsidR="00000000" w:rsidDel="00000000" w:rsidP="00000000" w:rsidRDefault="00000000" w:rsidRPr="00000000" w14:paraId="00000045">
            <w:pPr>
              <w:spacing w:line="276" w:lineRule="auto"/>
              <w:ind w:left="708.6614173228347"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Moura Filho, Heitor. 2020. “O Uso da informação Quantitativa em História – Tópicos para discussão”. </w:t>
            </w:r>
            <w:r w:rsidDel="00000000" w:rsidR="00000000" w:rsidRPr="00000000">
              <w:rPr>
                <w:rFonts w:ascii="Times New Roman" w:cs="Times New Roman" w:eastAsia="Times New Roman" w:hAnsi="Times New Roman"/>
                <w:i w:val="1"/>
                <w:iCs w:val="1"/>
                <w:rtl w:val="0"/>
              </w:rPr>
              <w:t xml:space="preserve">Locus: Revista de História</w:t>
            </w:r>
            <w:r w:rsidDel="00000000" w:rsidR="00000000" w:rsidRPr="00000000">
              <w:rPr>
                <w:rFonts w:ascii="Times New Roman" w:cs="Times New Roman" w:eastAsia="Times New Roman" w:hAnsi="Times New Roman"/>
                <w:rtl w:val="0"/>
              </w:rPr>
              <w:t xml:space="preserve"> (Juiz de Fora) 14 (1). </w:t>
            </w:r>
            <w:hyperlink r:id="rId14">
              <w:r w:rsidDel="00000000" w:rsidR="00000000" w:rsidRPr="00000000">
                <w:rPr>
                  <w:rFonts w:ascii="Times New Roman" w:cs="Times New Roman" w:eastAsia="Times New Roman" w:hAnsi="Times New Roman"/>
                  <w:color w:val="1155cc"/>
                  <w:u w:val="single"/>
                  <w:rtl w:val="0"/>
                </w:rPr>
                <w:t xml:space="preserve">https://doi.org/10.34019/2594-8296.2008.v14.31574</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46">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3</w:t>
            </w:r>
          </w:p>
        </w:tc>
        <w:tc>
          <w:tcPr>
            <w:vAlign w:val="center"/>
          </w:tcPr>
          <w:p w:rsidR="00000000" w:rsidDel="00000000" w:rsidP="00000000" w:rsidRDefault="00000000" w:rsidRPr="00000000" w14:paraId="00000047">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48">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49">
            <w:pPr>
              <w:ind w:left="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contexto: A ligação improvável dos dois lados do Atlântico: mina, moeda e preço.</w:t>
            </w:r>
          </w:p>
          <w:p w:rsidR="00000000" w:rsidDel="00000000" w:rsidP="00000000" w:rsidRDefault="00000000" w:rsidRPr="00000000" w14:paraId="0000004A">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Hamilton, Earl. s.d. “El tesoro americano y el florecimiento del capitalismo (1500-1700)”. </w:t>
            </w:r>
            <w:r w:rsidDel="00000000" w:rsidR="00000000" w:rsidRPr="00000000">
              <w:rPr>
                <w:rFonts w:ascii="Times New Roman" w:cs="Times New Roman" w:eastAsia="Times New Roman" w:hAnsi="Times New Roman"/>
                <w:i w:val="1"/>
                <w:iCs w:val="1"/>
                <w:rtl w:val="0"/>
              </w:rPr>
              <w:t xml:space="preserve">Revista de Occidente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4B">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4</w:t>
            </w:r>
          </w:p>
        </w:tc>
        <w:tc>
          <w:tcPr>
            <w:vAlign w:val="center"/>
          </w:tcPr>
          <w:p w:rsidR="00000000" w:rsidDel="00000000" w:rsidP="00000000" w:rsidRDefault="00000000" w:rsidRPr="00000000" w14:paraId="0000004C">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4D">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metais americanos impactam na qualidade de vida?</w:t>
            </w:r>
          </w:p>
          <w:p w:rsidR="00000000" w:rsidDel="00000000" w:rsidP="00000000" w:rsidRDefault="00000000" w:rsidRPr="00000000" w14:paraId="0000004F">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González-Mariscal, Manuel. 2015. “Inflación y Niveles de Vida en Sevilla Durante la Revolución de los Precios: Inflation and Standards of Living in Seville during the Price Revolution”. </w:t>
            </w:r>
            <w:r w:rsidDel="00000000" w:rsidR="00000000" w:rsidRPr="00000000">
              <w:rPr>
                <w:rFonts w:ascii="Times New Roman" w:cs="Times New Roman" w:eastAsia="Times New Roman" w:hAnsi="Times New Roman"/>
                <w:i w:val="1"/>
                <w:iCs w:val="1"/>
                <w:rtl w:val="0"/>
              </w:rPr>
              <w:t xml:space="preserve">Revista de Historia Económica / Journal of Iberian and Latin American Economic History</w:t>
            </w:r>
            <w:r w:rsidDel="00000000" w:rsidR="00000000" w:rsidRPr="00000000">
              <w:rPr>
                <w:rFonts w:ascii="Times New Roman" w:cs="Times New Roman" w:eastAsia="Times New Roman" w:hAnsi="Times New Roman"/>
                <w:rtl w:val="0"/>
              </w:rPr>
              <w:t xml:space="preserve"> 33 (3): 353–86. </w:t>
            </w:r>
            <w:hyperlink r:id="rId15">
              <w:r w:rsidDel="00000000" w:rsidR="00000000" w:rsidRPr="00000000">
                <w:rPr>
                  <w:rFonts w:ascii="Times New Roman" w:cs="Times New Roman" w:eastAsia="Times New Roman" w:hAnsi="Times New Roman"/>
                  <w:color w:val="1155cc"/>
                  <w:u w:val="single"/>
                  <w:rtl w:val="0"/>
                </w:rPr>
                <w:t xml:space="preserve">https://doi.org/10.1017/S0212610915000282</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675" w:hRule="atLeast"/>
          <w:tblHeader w:val="0"/>
        </w:trPr>
        <w:tc>
          <w:tcPr>
            <w:vAlign w:val="center"/>
          </w:tcPr>
          <w:p w:rsidR="00000000" w:rsidDel="00000000" w:rsidP="00000000" w:rsidRDefault="00000000" w:rsidRPr="00000000" w14:paraId="00000050">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5</w:t>
            </w:r>
          </w:p>
        </w:tc>
        <w:tc>
          <w:tcPr>
            <w:vAlign w:val="center"/>
          </w:tcPr>
          <w:p w:rsidR="00000000" w:rsidDel="00000000" w:rsidP="00000000" w:rsidRDefault="00000000" w:rsidRPr="00000000" w14:paraId="00000051">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52">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Então, no início, foi a crise?</w:t>
            </w:r>
          </w:p>
          <w:p w:rsidR="00000000" w:rsidDel="00000000" w:rsidP="00000000" w:rsidRDefault="00000000" w:rsidRPr="00000000" w14:paraId="00000054">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Munro, John. 2008. </w:t>
            </w:r>
            <w:r w:rsidDel="00000000" w:rsidR="00000000" w:rsidRPr="00000000">
              <w:rPr>
                <w:rFonts w:ascii="Times New Roman" w:cs="Times New Roman" w:eastAsia="Times New Roman" w:hAnsi="Times New Roman"/>
                <w:i w:val="1"/>
                <w:iCs w:val="1"/>
                <w:rtl w:val="0"/>
              </w:rPr>
              <w:t xml:space="preserve">Money, prices, wages, and ‘profit inflation’ in Spain, the Southern Netherlands, and England during the Price Revolution era, ca. 1520 - ca. 1650</w:t>
            </w:r>
            <w:r w:rsidDel="00000000" w:rsidR="00000000" w:rsidRPr="00000000">
              <w:rPr>
                <w:rFonts w:ascii="Times New Roman" w:cs="Times New Roman" w:eastAsia="Times New Roman" w:hAnsi="Times New Roman"/>
                <w:rtl w:val="0"/>
              </w:rPr>
              <w:t xml:space="preserve">. MPRA Paper N. 10849. Munich Personal RePEc Archive. </w:t>
            </w:r>
            <w:hyperlink r:id="rId16">
              <w:r w:rsidDel="00000000" w:rsidR="00000000" w:rsidRPr="00000000">
                <w:rPr>
                  <w:rFonts w:ascii="Times New Roman" w:cs="Times New Roman" w:eastAsia="Times New Roman" w:hAnsi="Times New Roman"/>
                  <w:color w:val="1155cc"/>
                  <w:u w:val="single"/>
                  <w:rtl w:val="0"/>
                </w:rPr>
                <w:t xml:space="preserve">https://mpra.ub.uni-muenchen.de/10849/1/MPRA_paper_10849.pdf</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5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6</w:t>
            </w:r>
          </w:p>
        </w:tc>
        <w:tc>
          <w:tcPr>
            <w:vAlign w:val="center"/>
          </w:tcPr>
          <w:p w:rsidR="00000000" w:rsidDel="00000000" w:rsidP="00000000" w:rsidRDefault="00000000" w:rsidRPr="00000000" w14:paraId="00000056">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5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58">
            <w:pPr>
              <w:jc w:val="both"/>
              <w:rPr>
                <w:rFonts w:ascii="Times New Roman" w:cs="Times New Roman" w:eastAsia="Times New Roman" w:hAnsi="Times New Roman"/>
                <w:b w:val="1"/>
                <w:bCs w:val="1"/>
                <w:i w:val="0"/>
                <w:iCs w:val="0"/>
                <w:strike w:val="0"/>
                <w:color w:val="000000"/>
                <w:sz w:val="22"/>
                <w:szCs w:val="22"/>
                <w:u w:val="single"/>
              </w:rPr>
            </w:pPr>
            <w:r w:rsidDel="00000000" w:rsidR="00000000" w:rsidRPr="00000000">
              <w:rPr>
                <w:rFonts w:ascii="Times New Roman" w:cs="Times New Roman" w:eastAsia="Times New Roman" w:hAnsi="Times New Roman"/>
                <w:rtl w:val="0"/>
              </w:rPr>
              <w:t xml:space="preserve">Avaliação 1</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5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7</w:t>
            </w:r>
          </w:p>
        </w:tc>
        <w:tc>
          <w:tcPr>
            <w:vAlign w:val="center"/>
          </w:tcPr>
          <w:p w:rsidR="00000000" w:rsidDel="00000000" w:rsidP="00000000" w:rsidRDefault="00000000" w:rsidRPr="00000000" w14:paraId="0000005A">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5B">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5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2: 1640-1710. A fome do Seiscentos. </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Assuntos metodológicos 2: Leitura de gráficos</w:t>
            </w:r>
          </w:p>
          <w:p w:rsidR="00000000" w:rsidDel="00000000" w:rsidP="00000000" w:rsidRDefault="00000000" w:rsidRPr="00000000" w14:paraId="0000005E">
            <w:pPr>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Haskins, Loren, e Kirk Jeffrey. 1991. </w:t>
            </w:r>
            <w:r w:rsidDel="00000000" w:rsidR="00000000" w:rsidRPr="00000000">
              <w:rPr>
                <w:rFonts w:ascii="Times New Roman" w:cs="Times New Roman" w:eastAsia="Times New Roman" w:hAnsi="Times New Roman"/>
                <w:i w:val="1"/>
                <w:iCs w:val="1"/>
                <w:rtl w:val="0"/>
              </w:rPr>
              <w:t xml:space="preserve">Understanding Quantitative History</w:t>
            </w:r>
            <w:r w:rsidDel="00000000" w:rsidR="00000000" w:rsidRPr="00000000">
              <w:rPr>
                <w:rFonts w:ascii="Times New Roman" w:cs="Times New Roman" w:eastAsia="Times New Roman" w:hAnsi="Times New Roman"/>
                <w:rtl w:val="0"/>
              </w:rPr>
              <w:t xml:space="preserve">. MIT Press. Cap. 2</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5F">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8</w:t>
            </w:r>
          </w:p>
        </w:tc>
        <w:tc>
          <w:tcPr>
            <w:vAlign w:val="center"/>
          </w:tcPr>
          <w:p w:rsidR="00000000" w:rsidDel="00000000" w:rsidP="00000000" w:rsidRDefault="00000000" w:rsidRPr="00000000" w14:paraId="00000060">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61">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62">
            <w:pPr>
              <w:ind w:left="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contexto: Vínculo ou não vínculo: acoplamentos, conexões ou integração?</w:t>
            </w:r>
          </w:p>
          <w:p w:rsidR="00000000" w:rsidDel="00000000" w:rsidP="00000000" w:rsidRDefault="00000000" w:rsidRPr="00000000" w14:paraId="00000063">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Romano, Ruggiero. 1993. </w:t>
            </w:r>
            <w:r w:rsidDel="00000000" w:rsidR="00000000" w:rsidRPr="00000000">
              <w:rPr>
                <w:rFonts w:ascii="Times New Roman" w:cs="Times New Roman" w:eastAsia="Times New Roman" w:hAnsi="Times New Roman"/>
                <w:i w:val="1"/>
                <w:iCs w:val="1"/>
                <w:rtl w:val="0"/>
              </w:rPr>
              <w:t xml:space="preserve">Coyunturas Opuestas: La Crisis del Siglo XVII en Europa e Hispanoamérica</w:t>
            </w:r>
            <w:r w:rsidDel="00000000" w:rsidR="00000000" w:rsidRPr="00000000">
              <w:rPr>
                <w:rFonts w:ascii="Times New Roman" w:cs="Times New Roman" w:eastAsia="Times New Roman" w:hAnsi="Times New Roman"/>
                <w:rtl w:val="0"/>
              </w:rPr>
              <w:t xml:space="preserve">. Colegio de México: Fideicomiso Historia de las Américas: Fondo de Cultura Económica. Introdução e Cap. 2</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64">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9</w:t>
            </w:r>
          </w:p>
        </w:tc>
        <w:tc>
          <w:tcPr>
            <w:vAlign w:val="center"/>
          </w:tcPr>
          <w:p w:rsidR="00000000" w:rsidDel="00000000" w:rsidP="00000000" w:rsidRDefault="00000000" w:rsidRPr="00000000" w14:paraId="00000065">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66">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crise começa nas Américas?</w:t>
            </w:r>
          </w:p>
          <w:p w:rsidR="00000000" w:rsidDel="00000000" w:rsidP="00000000" w:rsidRDefault="00000000" w:rsidRPr="00000000" w14:paraId="00000068">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Suárez Espinosa, Margarita María. 2016. “Metales Preciosos, Moneda y Comercio. La Participación del Perú en el Mundo Ultramarino, Siglos XVI y XVII”. Em </w:t>
            </w:r>
            <w:r w:rsidDel="00000000" w:rsidR="00000000" w:rsidRPr="00000000">
              <w:rPr>
                <w:rFonts w:ascii="Times New Roman" w:cs="Times New Roman" w:eastAsia="Times New Roman" w:hAnsi="Times New Roman"/>
                <w:i w:val="1"/>
                <w:iCs w:val="1"/>
                <w:rtl w:val="0"/>
              </w:rPr>
              <w:t xml:space="preserve">Historia de la Moneda en el Perú</w:t>
            </w:r>
            <w:r w:rsidDel="00000000" w:rsidR="00000000" w:rsidRPr="00000000">
              <w:rPr>
                <w:rFonts w:ascii="Times New Roman" w:cs="Times New Roman" w:eastAsia="Times New Roman" w:hAnsi="Times New Roman"/>
                <w:rtl w:val="0"/>
              </w:rPr>
              <w:t xml:space="preserve">. organizado por Carlos Contreras Carranza. Serie: Historia económica 27. Banco central de reserva del Perú IEP, Instituto de Estudios Peruanos.</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6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10</w:t>
            </w:r>
          </w:p>
        </w:tc>
        <w:tc>
          <w:tcPr>
            <w:vAlign w:val="center"/>
          </w:tcPr>
          <w:p w:rsidR="00000000" w:rsidDel="00000000" w:rsidP="00000000" w:rsidRDefault="00000000" w:rsidRPr="00000000" w14:paraId="0000006A">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6B">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longuíssima crise no na Península Ibérica?</w:t>
            </w:r>
          </w:p>
          <w:p w:rsidR="00000000" w:rsidDel="00000000" w:rsidP="00000000" w:rsidRDefault="00000000" w:rsidRPr="00000000" w14:paraId="0000006D">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Álvarez-Nogal, Carlos, e Leandro Prados De La Escosura. 2025. “Subjective Well-Being and Inequality in Spain’s Decline”. </w:t>
            </w:r>
            <w:r w:rsidDel="00000000" w:rsidR="00000000" w:rsidRPr="00000000">
              <w:rPr>
                <w:rFonts w:ascii="Times New Roman" w:cs="Times New Roman" w:eastAsia="Times New Roman" w:hAnsi="Times New Roman"/>
                <w:i w:val="1"/>
                <w:iCs w:val="1"/>
                <w:rtl w:val="0"/>
              </w:rPr>
              <w:t xml:space="preserve">Cliometrica </w:t>
            </w:r>
            <w:r w:rsidDel="00000000" w:rsidR="00000000" w:rsidRPr="00000000">
              <w:rPr>
                <w:rFonts w:ascii="Times New Roman" w:cs="Times New Roman" w:eastAsia="Times New Roman" w:hAnsi="Times New Roman"/>
                <w:rtl w:val="0"/>
              </w:rPr>
              <w:t xml:space="preserve">19 (1): 1–27. </w:t>
            </w:r>
            <w:hyperlink r:id="rId17">
              <w:r w:rsidDel="00000000" w:rsidR="00000000" w:rsidRPr="00000000">
                <w:rPr>
                  <w:rFonts w:ascii="Times New Roman" w:cs="Times New Roman" w:eastAsia="Times New Roman" w:hAnsi="Times New Roman"/>
                  <w:color w:val="1155cc"/>
                  <w:u w:val="single"/>
                  <w:rtl w:val="0"/>
                </w:rPr>
                <w:t xml:space="preserve">https://doi.org/10.1007/s11698-024-00288-1</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6E">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11</w:t>
            </w:r>
          </w:p>
        </w:tc>
        <w:tc>
          <w:tcPr>
            <w:vAlign w:val="center"/>
          </w:tcPr>
          <w:p w:rsidR="00000000" w:rsidDel="00000000" w:rsidP="00000000" w:rsidRDefault="00000000" w:rsidRPr="00000000" w14:paraId="0000006F">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70">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 crise exportada da Inglaterra ao litoral africano?</w:t>
            </w:r>
          </w:p>
          <w:p w:rsidR="00000000" w:rsidDel="00000000" w:rsidP="00000000" w:rsidRDefault="00000000" w:rsidRPr="00000000" w14:paraId="00000072">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Corpuz, Jose Rowell. 2026. “Competition and Payments to African Chiefs on the Gold Coast during the Slave Trade, 1679‒1704”. </w:t>
            </w:r>
            <w:r w:rsidDel="00000000" w:rsidR="00000000" w:rsidRPr="00000000">
              <w:rPr>
                <w:rFonts w:ascii="Times New Roman" w:cs="Times New Roman" w:eastAsia="Times New Roman" w:hAnsi="Times New Roman"/>
                <w:i w:val="1"/>
                <w:iCs w:val="1"/>
                <w:rtl w:val="0"/>
              </w:rPr>
              <w:t xml:space="preserve">The Economic History Review</w:t>
            </w:r>
            <w:r w:rsidDel="00000000" w:rsidR="00000000" w:rsidRPr="00000000">
              <w:rPr>
                <w:rFonts w:ascii="Times New Roman" w:cs="Times New Roman" w:eastAsia="Times New Roman" w:hAnsi="Times New Roman"/>
                <w:rtl w:val="0"/>
              </w:rPr>
              <w:t xml:space="preserve"> 79 (3): 1052–81. </w:t>
            </w:r>
            <w:hyperlink r:id="rId18">
              <w:r w:rsidDel="00000000" w:rsidR="00000000" w:rsidRPr="00000000">
                <w:rPr>
                  <w:rFonts w:ascii="Times New Roman" w:cs="Times New Roman" w:eastAsia="Times New Roman" w:hAnsi="Times New Roman"/>
                  <w:color w:val="1155cc"/>
                  <w:u w:val="single"/>
                  <w:rtl w:val="0"/>
                </w:rPr>
                <w:t xml:space="preserve">https://doi.org/10.1111/ehr.70053</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73">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12</w:t>
            </w:r>
          </w:p>
        </w:tc>
        <w:tc>
          <w:tcPr>
            <w:vAlign w:val="center"/>
          </w:tcPr>
          <w:p w:rsidR="00000000" w:rsidDel="00000000" w:rsidP="00000000" w:rsidRDefault="00000000" w:rsidRPr="00000000" w14:paraId="00000074">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7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76">
            <w:pPr>
              <w:rPr>
                <w:rFonts w:ascii="Times New Roman" w:cs="Times New Roman" w:eastAsia="Times New Roman" w:hAnsi="Times New Roman"/>
                <w:b w:val="1"/>
                <w:bCs w:val="1"/>
                <w:i w:val="1"/>
                <w:iCs w:val="1"/>
                <w:strike w:val="0"/>
                <w:color w:val="000000"/>
                <w:sz w:val="22"/>
                <w:szCs w:val="22"/>
                <w:u w:val="single"/>
              </w:rPr>
            </w:pPr>
            <w:r w:rsidDel="00000000" w:rsidR="00000000" w:rsidRPr="00000000">
              <w:rPr>
                <w:rFonts w:ascii="Times New Roman" w:cs="Times New Roman" w:eastAsia="Times New Roman" w:hAnsi="Times New Roman"/>
                <w:rtl w:val="0"/>
              </w:rPr>
              <w:t xml:space="preserve">Avaliação 2</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7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13</w:t>
            </w:r>
          </w:p>
        </w:tc>
        <w:tc>
          <w:tcPr>
            <w:vAlign w:val="center"/>
          </w:tcPr>
          <w:p w:rsidR="00000000" w:rsidDel="00000000" w:rsidP="00000000" w:rsidRDefault="00000000" w:rsidRPr="00000000" w14:paraId="00000078">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7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3: 1770-1820. Colapso dos impérios atlânticos</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Assuntos metodológicos 3: Resumo, síntese e representação de dados</w:t>
            </w:r>
          </w:p>
          <w:p w:rsidR="00000000" w:rsidDel="00000000" w:rsidP="00000000" w:rsidRDefault="00000000" w:rsidRPr="00000000" w14:paraId="0000007C">
            <w:pPr>
              <w:ind w:left="708.6614173228347"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Floud, Roderick. 1983. </w:t>
            </w:r>
            <w:r w:rsidDel="00000000" w:rsidR="00000000" w:rsidRPr="00000000">
              <w:rPr>
                <w:rFonts w:ascii="Times New Roman" w:cs="Times New Roman" w:eastAsia="Times New Roman" w:hAnsi="Times New Roman"/>
                <w:i w:val="1"/>
                <w:iCs w:val="1"/>
                <w:rtl w:val="0"/>
              </w:rPr>
              <w:t xml:space="preserve">Métodos cuantitativos para Historiadores</w:t>
            </w:r>
            <w:r w:rsidDel="00000000" w:rsidR="00000000" w:rsidRPr="00000000">
              <w:rPr>
                <w:rFonts w:ascii="Times New Roman" w:cs="Times New Roman" w:eastAsia="Times New Roman" w:hAnsi="Times New Roman"/>
                <w:rtl w:val="0"/>
              </w:rPr>
              <w:t xml:space="preserve">. 3ª ed. Alianza Universidad. Alianza Editorial. Cap. 5</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7D">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14</w:t>
            </w:r>
          </w:p>
        </w:tc>
        <w:tc>
          <w:tcPr>
            <w:vAlign w:val="center"/>
          </w:tcPr>
          <w:p w:rsidR="00000000" w:rsidDel="00000000" w:rsidP="00000000" w:rsidRDefault="00000000" w:rsidRPr="00000000" w14:paraId="0000007E">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7F">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80">
            <w:pPr>
              <w:ind w:left="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contexto: Revoluções atlânticas e desestruturação dos Impérios em meio à Revolução industrial? </w:t>
            </w:r>
          </w:p>
          <w:p w:rsidR="00000000" w:rsidDel="00000000" w:rsidP="00000000" w:rsidRDefault="00000000" w:rsidRPr="00000000" w14:paraId="00000081">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Allen, Robert. 2006. </w:t>
            </w:r>
            <w:r w:rsidDel="00000000" w:rsidR="00000000" w:rsidRPr="00000000">
              <w:rPr>
                <w:rFonts w:ascii="Times New Roman" w:cs="Times New Roman" w:eastAsia="Times New Roman" w:hAnsi="Times New Roman"/>
                <w:i w:val="1"/>
                <w:iCs w:val="1"/>
                <w:rtl w:val="0"/>
              </w:rPr>
              <w:t xml:space="preserve">The British Industrial Revolution in Global Perspective: How Commerce Rather than Science Caused the Industrial Revolution and Modern Economic Growth</w:t>
            </w:r>
            <w:r w:rsidDel="00000000" w:rsidR="00000000" w:rsidRPr="00000000">
              <w:rPr>
                <w:rFonts w:ascii="Times New Roman" w:cs="Times New Roman" w:eastAsia="Times New Roman" w:hAnsi="Times New Roman"/>
                <w:rtl w:val="0"/>
              </w:rPr>
              <w:t xml:space="preserve">. N. SEGs06. NBER.</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82">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15</w:t>
            </w:r>
          </w:p>
        </w:tc>
        <w:tc>
          <w:tcPr>
            <w:vAlign w:val="center"/>
          </w:tcPr>
          <w:p w:rsidR="00000000" w:rsidDel="00000000" w:rsidP="00000000" w:rsidRDefault="00000000" w:rsidRPr="00000000" w14:paraId="00000083">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84">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termina América Latina sua época colonial, numa crise?</w:t>
            </w:r>
          </w:p>
          <w:p w:rsidR="00000000" w:rsidDel="00000000" w:rsidP="00000000" w:rsidRDefault="00000000" w:rsidRPr="00000000" w14:paraId="00000086">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Dobado-González, Rafael. 2015. “Pre-Independence Spanish Americans: Poor, Short and Unequal… or The Opposite?” </w:t>
            </w:r>
            <w:r w:rsidDel="00000000" w:rsidR="00000000" w:rsidRPr="00000000">
              <w:rPr>
                <w:rFonts w:ascii="Times New Roman" w:cs="Times New Roman" w:eastAsia="Times New Roman" w:hAnsi="Times New Roman"/>
                <w:i w:val="1"/>
                <w:iCs w:val="1"/>
                <w:rtl w:val="0"/>
              </w:rPr>
              <w:t xml:space="preserve">Revista de Historia Económica / Journal of Iberian and Latin American Economic History</w:t>
            </w:r>
            <w:r w:rsidDel="00000000" w:rsidR="00000000" w:rsidRPr="00000000">
              <w:rPr>
                <w:rFonts w:ascii="Times New Roman" w:cs="Times New Roman" w:eastAsia="Times New Roman" w:hAnsi="Times New Roman"/>
                <w:rtl w:val="0"/>
              </w:rPr>
              <w:t xml:space="preserve"> 33 (1): 15–59. </w:t>
            </w:r>
            <w:hyperlink r:id="rId19">
              <w:r w:rsidDel="00000000" w:rsidR="00000000" w:rsidRPr="00000000">
                <w:rPr>
                  <w:rFonts w:ascii="Times New Roman" w:cs="Times New Roman" w:eastAsia="Times New Roman" w:hAnsi="Times New Roman"/>
                  <w:color w:val="1155cc"/>
                  <w:u w:val="single"/>
                  <w:rtl w:val="0"/>
                </w:rPr>
                <w:t xml:space="preserve">https://doi.org/10.1017/S0212610914000135</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8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16</w:t>
            </w:r>
          </w:p>
        </w:tc>
        <w:tc>
          <w:tcPr>
            <w:vAlign w:val="center"/>
          </w:tcPr>
          <w:p w:rsidR="00000000" w:rsidDel="00000000" w:rsidP="00000000" w:rsidRDefault="00000000" w:rsidRPr="00000000" w14:paraId="00000088">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8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mudança institucional na Revolução</w:t>
            </w:r>
          </w:p>
          <w:p w:rsidR="00000000" w:rsidDel="00000000" w:rsidP="00000000" w:rsidRDefault="00000000" w:rsidRPr="00000000" w14:paraId="0000008B">
            <w:pPr>
              <w:ind w:left="720" w:firstLine="0"/>
              <w:jc w:val="both"/>
              <w:rPr>
                <w:rFonts w:ascii="Times New Roman" w:cs="Times New Roman" w:eastAsia="Times New Roman" w:hAnsi="Times New Roman"/>
                <w:b w:val="1"/>
                <w:bCs w:val="1"/>
                <w:i w:val="1"/>
                <w:i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North, Douglass Cecil. 1966. </w:t>
            </w:r>
            <w:r w:rsidDel="00000000" w:rsidR="00000000" w:rsidRPr="00000000">
              <w:rPr>
                <w:rFonts w:ascii="Times New Roman" w:cs="Times New Roman" w:eastAsia="Times New Roman" w:hAnsi="Times New Roman"/>
                <w:i w:val="1"/>
                <w:iCs w:val="1"/>
                <w:rtl w:val="0"/>
              </w:rPr>
              <w:t xml:space="preserve">The Economic Growth of the United States, 1790-1860</w:t>
            </w:r>
            <w:r w:rsidDel="00000000" w:rsidR="00000000" w:rsidRPr="00000000">
              <w:rPr>
                <w:rFonts w:ascii="Times New Roman" w:cs="Times New Roman" w:eastAsia="Times New Roman" w:hAnsi="Times New Roman"/>
                <w:rtl w:val="0"/>
              </w:rPr>
              <w:t xml:space="preserve">. W. W Norton. Parte I.</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8C">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17</w:t>
            </w:r>
          </w:p>
        </w:tc>
        <w:tc>
          <w:tcPr>
            <w:vAlign w:val="center"/>
          </w:tcPr>
          <w:p w:rsidR="00000000" w:rsidDel="00000000" w:rsidP="00000000" w:rsidRDefault="00000000" w:rsidRPr="00000000" w14:paraId="0000008D">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8E">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tensões fiscais em meio às independências</w:t>
            </w:r>
          </w:p>
          <w:p w:rsidR="00000000" w:rsidDel="00000000" w:rsidP="00000000" w:rsidRDefault="00000000" w:rsidRPr="00000000" w14:paraId="00000090">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Pinto, Joaquín. 2015. “Fiscalidad e Independencia en Santafé y Bogotá, 1780-1830”. </w:t>
            </w:r>
            <w:r w:rsidDel="00000000" w:rsidR="00000000" w:rsidRPr="00000000">
              <w:rPr>
                <w:rFonts w:ascii="Times New Roman" w:cs="Times New Roman" w:eastAsia="Times New Roman" w:hAnsi="Times New Roman"/>
                <w:i w:val="1"/>
                <w:iCs w:val="1"/>
                <w:rtl w:val="0"/>
              </w:rPr>
              <w:t xml:space="preserve">América Latina en la Historia Económica</w:t>
            </w:r>
            <w:r w:rsidDel="00000000" w:rsidR="00000000" w:rsidRPr="00000000">
              <w:rPr>
                <w:rFonts w:ascii="Times New Roman" w:cs="Times New Roman" w:eastAsia="Times New Roman" w:hAnsi="Times New Roman"/>
                <w:rtl w:val="0"/>
              </w:rPr>
              <w:t xml:space="preserve"> (México). </w:t>
            </w:r>
            <w:hyperlink r:id="rId20">
              <w:r w:rsidDel="00000000" w:rsidR="00000000" w:rsidRPr="00000000">
                <w:rPr>
                  <w:rFonts w:ascii="Times New Roman" w:cs="Times New Roman" w:eastAsia="Times New Roman" w:hAnsi="Times New Roman"/>
                  <w:color w:val="1155cc"/>
                  <w:u w:val="single"/>
                  <w:rtl w:val="0"/>
                </w:rPr>
                <w:t xml:space="preserve">https://doi.org/10.18232/20073496.649</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91">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18</w:t>
            </w:r>
          </w:p>
        </w:tc>
        <w:tc>
          <w:tcPr>
            <w:vAlign w:val="center"/>
          </w:tcPr>
          <w:p w:rsidR="00000000" w:rsidDel="00000000" w:rsidP="00000000" w:rsidRDefault="00000000" w:rsidRPr="00000000" w14:paraId="00000092">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93">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94">
            <w:pPr>
              <w:rPr>
                <w:rFonts w:ascii="Times New Roman" w:cs="Times New Roman" w:eastAsia="Times New Roman" w:hAnsi="Times New Roman"/>
                <w:b w:val="1"/>
                <w:bCs w:val="1"/>
                <w:i w:val="0"/>
                <w:iCs w:val="0"/>
                <w:strike w:val="0"/>
                <w:color w:val="000000"/>
                <w:sz w:val="22"/>
                <w:szCs w:val="22"/>
                <w:u w:val="single"/>
              </w:rPr>
            </w:pPr>
            <w:r w:rsidDel="00000000" w:rsidR="00000000" w:rsidRPr="00000000">
              <w:rPr>
                <w:rFonts w:ascii="Times New Roman" w:cs="Times New Roman" w:eastAsia="Times New Roman" w:hAnsi="Times New Roman"/>
                <w:rtl w:val="0"/>
              </w:rPr>
              <w:t xml:space="preserve">Avaliação 3</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9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19</w:t>
            </w:r>
          </w:p>
        </w:tc>
        <w:tc>
          <w:tcPr>
            <w:vAlign w:val="center"/>
          </w:tcPr>
          <w:p w:rsidR="00000000" w:rsidDel="00000000" w:rsidP="00000000" w:rsidRDefault="00000000" w:rsidRPr="00000000" w14:paraId="00000096">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9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4: 1830-1850. Fim do circuito global da prata.</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Assuntos metodológicos 4: Tipo de variáveis e tipos de dependências</w:t>
            </w:r>
          </w:p>
          <w:p w:rsidR="00000000" w:rsidDel="00000000" w:rsidP="00000000" w:rsidRDefault="00000000" w:rsidRPr="00000000" w14:paraId="0000009A">
            <w:pPr>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Jarausch, Konrad, e Kenneth A. Hardy. 1991. </w:t>
            </w:r>
            <w:r w:rsidDel="00000000" w:rsidR="00000000" w:rsidRPr="00000000">
              <w:rPr>
                <w:rFonts w:ascii="Times New Roman" w:cs="Times New Roman" w:eastAsia="Times New Roman" w:hAnsi="Times New Roman"/>
                <w:i w:val="1"/>
                <w:iCs w:val="1"/>
                <w:rtl w:val="0"/>
              </w:rPr>
              <w:t xml:space="preserve">Quantitative Methods for Historians: A Guide to Research, Data, and Statistics</w:t>
            </w:r>
            <w:r w:rsidDel="00000000" w:rsidR="00000000" w:rsidRPr="00000000">
              <w:rPr>
                <w:rFonts w:ascii="Times New Roman" w:cs="Times New Roman" w:eastAsia="Times New Roman" w:hAnsi="Times New Roman"/>
                <w:rtl w:val="0"/>
              </w:rPr>
              <w:t xml:space="preserve">. Univ. of North Carolina. Cap. 8</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9B">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20</w:t>
            </w:r>
          </w:p>
        </w:tc>
        <w:tc>
          <w:tcPr>
            <w:vAlign w:val="center"/>
          </w:tcPr>
          <w:p w:rsidR="00000000" w:rsidDel="00000000" w:rsidP="00000000" w:rsidRDefault="00000000" w:rsidRPr="00000000" w14:paraId="0000009C">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9D">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9E">
            <w:pPr>
              <w:ind w:left="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contexto: As transformações globais pelas novas instituições da América Latina</w:t>
            </w:r>
          </w:p>
          <w:p w:rsidR="00000000" w:rsidDel="00000000" w:rsidP="00000000" w:rsidRDefault="00000000" w:rsidRPr="00000000" w14:paraId="0000009F">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Irigoin, Alejandra. 2009. “The End of a Silver Era: The Consequences of the Breakdown of the Spanish Peso Standard in China and the United States, 1780s–1850s”. </w:t>
            </w:r>
            <w:r w:rsidDel="00000000" w:rsidR="00000000" w:rsidRPr="00000000">
              <w:rPr>
                <w:rFonts w:ascii="Times New Roman" w:cs="Times New Roman" w:eastAsia="Times New Roman" w:hAnsi="Times New Roman"/>
                <w:i w:val="1"/>
                <w:iCs w:val="1"/>
                <w:rtl w:val="0"/>
              </w:rPr>
              <w:t xml:space="preserve">Journal of World History</w:t>
            </w:r>
            <w:r w:rsidDel="00000000" w:rsidR="00000000" w:rsidRPr="00000000">
              <w:rPr>
                <w:rFonts w:ascii="Times New Roman" w:cs="Times New Roman" w:eastAsia="Times New Roman" w:hAnsi="Times New Roman"/>
                <w:rtl w:val="0"/>
              </w:rPr>
              <w:t xml:space="preserve"> 20 (2): 207–44. </w:t>
            </w:r>
            <w:hyperlink r:id="rId21">
              <w:r w:rsidDel="00000000" w:rsidR="00000000" w:rsidRPr="00000000">
                <w:rPr>
                  <w:rFonts w:ascii="Times New Roman" w:cs="Times New Roman" w:eastAsia="Times New Roman" w:hAnsi="Times New Roman"/>
                  <w:color w:val="1155cc"/>
                  <w:u w:val="single"/>
                  <w:rtl w:val="0"/>
                </w:rPr>
                <w:t xml:space="preserve">https://doi.org/10.1353/jwh.0.0053</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A0">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21</w:t>
            </w:r>
          </w:p>
        </w:tc>
        <w:tc>
          <w:tcPr>
            <w:vAlign w:val="center"/>
          </w:tcPr>
          <w:p w:rsidR="00000000" w:rsidDel="00000000" w:rsidP="00000000" w:rsidRDefault="00000000" w:rsidRPr="00000000" w14:paraId="000000A1">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A2">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efeitos econômicos dos dilemas políticos</w:t>
            </w:r>
          </w:p>
          <w:p w:rsidR="00000000" w:rsidDel="00000000" w:rsidP="00000000" w:rsidRDefault="00000000" w:rsidRPr="00000000" w14:paraId="000000A4">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Temin, Peter. 1967. </w:t>
            </w:r>
            <w:r w:rsidDel="00000000" w:rsidR="00000000" w:rsidRPr="00000000">
              <w:rPr>
                <w:rFonts w:ascii="Times New Roman" w:cs="Times New Roman" w:eastAsia="Times New Roman" w:hAnsi="Times New Roman"/>
                <w:i w:val="1"/>
                <w:iCs w:val="1"/>
                <w:rtl w:val="0"/>
              </w:rPr>
              <w:t xml:space="preserve">The Economic Consequences of the Bank War: An Analysis of the Inflation of the 1830’s</w:t>
            </w:r>
            <w:r w:rsidDel="00000000" w:rsidR="00000000" w:rsidRPr="00000000">
              <w:rPr>
                <w:rFonts w:ascii="Times New Roman" w:cs="Times New Roman" w:eastAsia="Times New Roman" w:hAnsi="Times New Roman"/>
                <w:rtl w:val="0"/>
              </w:rPr>
              <w:t xml:space="preserve">. MIT.</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A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22</w:t>
            </w:r>
          </w:p>
        </w:tc>
        <w:tc>
          <w:tcPr>
            <w:vAlign w:val="center"/>
          </w:tcPr>
          <w:p w:rsidR="00000000" w:rsidDel="00000000" w:rsidP="00000000" w:rsidRDefault="00000000" w:rsidRPr="00000000" w14:paraId="000000A6">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A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Crises simultâneas, desconectadas?</w:t>
            </w:r>
          </w:p>
          <w:p w:rsidR="00000000" w:rsidDel="00000000" w:rsidP="00000000" w:rsidRDefault="00000000" w:rsidRPr="00000000" w14:paraId="000000A9">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Gelman, J. 2001. “Rosas, la Construcción del Orden y la Cuestión Agraria en Buenos Aires. Algunas Reflexiones a Partir de la Crisis de 1838-41”. </w:t>
            </w:r>
            <w:r w:rsidDel="00000000" w:rsidR="00000000" w:rsidRPr="00000000">
              <w:rPr>
                <w:rFonts w:ascii="Times New Roman" w:cs="Times New Roman" w:eastAsia="Times New Roman" w:hAnsi="Times New Roman"/>
                <w:i w:val="1"/>
                <w:iCs w:val="1"/>
                <w:rtl w:val="0"/>
              </w:rPr>
              <w:t xml:space="preserve">Illes i imperis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AA">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23</w:t>
            </w:r>
          </w:p>
        </w:tc>
        <w:tc>
          <w:tcPr>
            <w:vAlign w:val="center"/>
          </w:tcPr>
          <w:p w:rsidR="00000000" w:rsidDel="00000000" w:rsidP="00000000" w:rsidRDefault="00000000" w:rsidRPr="00000000" w14:paraId="000000AB">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AC">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crise antes de outra crise: Irlanda antes da fome</w:t>
            </w:r>
          </w:p>
          <w:p w:rsidR="00000000" w:rsidDel="00000000" w:rsidP="00000000" w:rsidRDefault="00000000" w:rsidRPr="00000000" w14:paraId="000000AE">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McLaughlin, Eoin, e Rowena Pecchenino. 2019. </w:t>
            </w:r>
            <w:r w:rsidDel="00000000" w:rsidR="00000000" w:rsidRPr="00000000">
              <w:rPr>
                <w:rFonts w:ascii="Times New Roman" w:cs="Times New Roman" w:eastAsia="Times New Roman" w:hAnsi="Times New Roman"/>
                <w:i w:val="1"/>
                <w:iCs w:val="1"/>
                <w:rtl w:val="0"/>
              </w:rPr>
              <w:t xml:space="preserve">Ireland’s Peculiar Microfinance Revolution, c. 1836-1845</w:t>
            </w:r>
            <w:r w:rsidDel="00000000" w:rsidR="00000000" w:rsidRPr="00000000">
              <w:rPr>
                <w:rFonts w:ascii="Times New Roman" w:cs="Times New Roman" w:eastAsia="Times New Roman" w:hAnsi="Times New Roman"/>
                <w:rtl w:val="0"/>
              </w:rPr>
              <w:t xml:space="preserve">. N. 2019–02. Discussion papers in Environment and Development Economics. University of St. Andrews.</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AF">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24</w:t>
            </w:r>
          </w:p>
        </w:tc>
        <w:tc>
          <w:tcPr>
            <w:vAlign w:val="center"/>
          </w:tcPr>
          <w:p w:rsidR="00000000" w:rsidDel="00000000" w:rsidP="00000000" w:rsidRDefault="00000000" w:rsidRPr="00000000" w14:paraId="000000B0">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B1">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B2">
            <w:pPr>
              <w:rPr>
                <w:rFonts w:ascii="Times New Roman" w:cs="Times New Roman" w:eastAsia="Times New Roman" w:hAnsi="Times New Roman"/>
                <w:b w:val="1"/>
                <w:bCs w:val="1"/>
                <w:i w:val="0"/>
                <w:iCs w:val="0"/>
                <w:strike w:val="0"/>
                <w:color w:val="000000"/>
                <w:sz w:val="22"/>
                <w:szCs w:val="22"/>
                <w:u w:val="single"/>
              </w:rPr>
            </w:pPr>
            <w:r w:rsidDel="00000000" w:rsidR="00000000" w:rsidRPr="00000000">
              <w:rPr>
                <w:rFonts w:ascii="Times New Roman" w:cs="Times New Roman" w:eastAsia="Times New Roman" w:hAnsi="Times New Roman"/>
                <w:rtl w:val="0"/>
              </w:rPr>
              <w:t xml:space="preserve">Avaliação 4</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B3">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25</w:t>
            </w:r>
          </w:p>
        </w:tc>
        <w:tc>
          <w:tcPr>
            <w:vAlign w:val="center"/>
          </w:tcPr>
          <w:p w:rsidR="00000000" w:rsidDel="00000000" w:rsidP="00000000" w:rsidRDefault="00000000" w:rsidRPr="00000000" w14:paraId="000000B4">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B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B6">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5: 1854-1864. Falência do sistema de intermediação financeira global.</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Assuntos metodológicos 5: Análise de confluência e regressões</w:t>
            </w:r>
          </w:p>
          <w:p w:rsidR="00000000" w:rsidDel="00000000" w:rsidP="00000000" w:rsidRDefault="00000000" w:rsidRPr="00000000" w14:paraId="000000B8">
            <w:pPr>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De Marchi, Neil, e Christopher Gilbert, org. 1989. </w:t>
            </w:r>
            <w:r w:rsidDel="00000000" w:rsidR="00000000" w:rsidRPr="00000000">
              <w:rPr>
                <w:rFonts w:ascii="Times New Roman" w:cs="Times New Roman" w:eastAsia="Times New Roman" w:hAnsi="Times New Roman"/>
                <w:i w:val="1"/>
                <w:iCs w:val="1"/>
                <w:rtl w:val="0"/>
              </w:rPr>
              <w:t xml:space="preserve">History and Methodology of Econometrics</w:t>
            </w:r>
            <w:r w:rsidDel="00000000" w:rsidR="00000000" w:rsidRPr="00000000">
              <w:rPr>
                <w:rFonts w:ascii="Times New Roman" w:cs="Times New Roman" w:eastAsia="Times New Roman" w:hAnsi="Times New Roman"/>
                <w:rtl w:val="0"/>
              </w:rPr>
              <w:t xml:space="preserve">. OEP Special Issue. Clarendon. Pág. 35-52 e 94-107</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B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26</w:t>
            </w:r>
          </w:p>
        </w:tc>
        <w:tc>
          <w:tcPr>
            <w:vAlign w:val="center"/>
          </w:tcPr>
          <w:p w:rsidR="00000000" w:rsidDel="00000000" w:rsidP="00000000" w:rsidRDefault="00000000" w:rsidRPr="00000000" w14:paraId="000000BA">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BB">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BC">
            <w:pPr>
              <w:ind w:left="850.393700787401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Contexto:  A primeira crise global? Não, mas talvez a primeira pela intermediação financeira.</w:t>
            </w:r>
          </w:p>
          <w:p w:rsidR="00000000" w:rsidDel="00000000" w:rsidP="00000000" w:rsidRDefault="00000000" w:rsidRPr="00000000" w14:paraId="000000BD">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Calomiris, Charles W., e Stephen H. Haber. 2014. </w:t>
            </w:r>
            <w:r w:rsidDel="00000000" w:rsidR="00000000" w:rsidRPr="00000000">
              <w:rPr>
                <w:rFonts w:ascii="Times New Roman" w:cs="Times New Roman" w:eastAsia="Times New Roman" w:hAnsi="Times New Roman"/>
                <w:i w:val="1"/>
                <w:iCs w:val="1"/>
                <w:rtl w:val="0"/>
              </w:rPr>
              <w:t xml:space="preserve">Fragile by Design: the Political Origins of Banking Crises and Scarce Credit</w:t>
            </w:r>
            <w:r w:rsidDel="00000000" w:rsidR="00000000" w:rsidRPr="00000000">
              <w:rPr>
                <w:rFonts w:ascii="Times New Roman" w:cs="Times New Roman" w:eastAsia="Times New Roman" w:hAnsi="Times New Roman"/>
                <w:rtl w:val="0"/>
              </w:rPr>
              <w:t xml:space="preserve">. The Princeton Economic History of the Western World. Princeton University Press. Cap. 2</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BE">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27</w:t>
            </w:r>
          </w:p>
        </w:tc>
        <w:tc>
          <w:tcPr>
            <w:vAlign w:val="center"/>
          </w:tcPr>
          <w:p w:rsidR="00000000" w:rsidDel="00000000" w:rsidP="00000000" w:rsidRDefault="00000000" w:rsidRPr="00000000" w14:paraId="000000BF">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C0">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C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Crises pulando através das novas instituições</w:t>
            </w:r>
            <w:r w:rsidDel="00000000" w:rsidR="00000000" w:rsidRPr="00000000">
              <w:rPr>
                <w:rtl w:val="0"/>
              </w:rPr>
            </w:r>
          </w:p>
          <w:p w:rsidR="00000000" w:rsidDel="00000000" w:rsidP="00000000" w:rsidRDefault="00000000" w:rsidRPr="00000000" w14:paraId="000000C2">
            <w:pPr>
              <w:ind w:left="720" w:firstLine="0"/>
              <w:jc w:val="both"/>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Kelly, Morgan, e Cormac Ó Gráda. 2000. “Market Contagion: Evidence from the Panics of 1854 and 1857”. </w:t>
            </w:r>
            <w:r w:rsidDel="00000000" w:rsidR="00000000" w:rsidRPr="00000000">
              <w:rPr>
                <w:rFonts w:ascii="Times New Roman" w:cs="Times New Roman" w:eastAsia="Times New Roman" w:hAnsi="Times New Roman"/>
                <w:i w:val="1"/>
                <w:iCs w:val="1"/>
                <w:rtl w:val="0"/>
              </w:rPr>
              <w:t xml:space="preserve">The American Economic Review</w:t>
            </w:r>
            <w:r w:rsidDel="00000000" w:rsidR="00000000" w:rsidRPr="00000000">
              <w:rPr>
                <w:rFonts w:ascii="Times New Roman" w:cs="Times New Roman" w:eastAsia="Times New Roman" w:hAnsi="Times New Roman"/>
                <w:rtl w:val="0"/>
              </w:rPr>
              <w:t xml:space="preserve"> 90 (5): 1110–24.</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C3">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28</w:t>
            </w:r>
          </w:p>
        </w:tc>
        <w:tc>
          <w:tcPr>
            <w:vAlign w:val="center"/>
          </w:tcPr>
          <w:p w:rsidR="00000000" w:rsidDel="00000000" w:rsidP="00000000" w:rsidRDefault="00000000" w:rsidRPr="00000000" w14:paraId="000000C4">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C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crise chega ao Brasil</w:t>
            </w:r>
          </w:p>
          <w:p w:rsidR="00000000" w:rsidDel="00000000" w:rsidP="00000000" w:rsidRDefault="00000000" w:rsidRPr="00000000" w14:paraId="000000C7">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Villela, André. 1999. “Tempos difíceis: Reações às crises de 1857 e 1864 no Brasil”. </w:t>
            </w:r>
            <w:r w:rsidDel="00000000" w:rsidR="00000000" w:rsidRPr="00000000">
              <w:rPr>
                <w:rFonts w:ascii="Times New Roman" w:cs="Times New Roman" w:eastAsia="Times New Roman" w:hAnsi="Times New Roman"/>
                <w:i w:val="1"/>
                <w:iCs w:val="1"/>
                <w:rtl w:val="0"/>
              </w:rPr>
              <w:t xml:space="preserve">Anais do III Congresso Brasileiro de História Econômica</w:t>
            </w:r>
            <w:r w:rsidDel="00000000" w:rsidR="00000000" w:rsidRPr="00000000">
              <w:rPr>
                <w:rFonts w:ascii="Times New Roman" w:cs="Times New Roman" w:eastAsia="Times New Roman" w:hAnsi="Times New Roman"/>
                <w:rtl w:val="0"/>
              </w:rPr>
              <w:t xml:space="preserve"> (Rio de Janeiro). </w:t>
            </w:r>
          </w:p>
          <w:p w:rsidR="00000000" w:rsidDel="00000000" w:rsidP="00000000" w:rsidRDefault="00000000" w:rsidRPr="00000000" w14:paraId="000000C8">
            <w:pPr>
              <w:ind w:left="720" w:firstLine="0"/>
              <w:jc w:val="both"/>
              <w:rPr>
                <w:rFonts w:ascii="Times New Roman" w:cs="Times New Roman" w:eastAsia="Times New Roman" w:hAnsi="Times New Roman"/>
              </w:rPr>
            </w:pPr>
            <w:hyperlink r:id="rId22">
              <w:r w:rsidDel="00000000" w:rsidR="00000000" w:rsidRPr="00000000">
                <w:rPr>
                  <w:rFonts w:ascii="Times New Roman" w:cs="Times New Roman" w:eastAsia="Times New Roman" w:hAnsi="Times New Roman"/>
                  <w:color w:val="1155cc"/>
                  <w:u w:val="single"/>
                  <w:rtl w:val="0"/>
                </w:rPr>
                <w:t xml:space="preserve">http://www.abphe.org.br/congresso1999/Textos/ANDRE.pdf</w:t>
              </w:r>
            </w:hyperlink>
            <w:r w:rsidDel="00000000" w:rsidR="00000000" w:rsidRPr="00000000">
              <w:rPr>
                <w:rFonts w:ascii="Times New Roman" w:cs="Times New Roman" w:eastAsia="Times New Roman" w:hAnsi="Times New Roman"/>
                <w:rtl w:val="0"/>
              </w:rPr>
              <w:t xml:space="preserve">.</w:t>
            </w:r>
          </w:p>
        </w:tc>
      </w:tr>
      <w:tr>
        <w:trPr>
          <w:cantSplit w:val="0"/>
          <w:trHeight w:val="300" w:hRule="atLeast"/>
          <w:tblHeader w:val="0"/>
        </w:trPr>
        <w:tc>
          <w:tcPr>
            <w:vAlign w:val="center"/>
          </w:tcPr>
          <w:p w:rsidR="00000000" w:rsidDel="00000000" w:rsidP="00000000" w:rsidRDefault="00000000" w:rsidRPr="00000000" w14:paraId="000000C9">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29</w:t>
            </w:r>
          </w:p>
        </w:tc>
        <w:tc>
          <w:tcPr>
            <w:vAlign w:val="center"/>
          </w:tcPr>
          <w:p w:rsidR="00000000" w:rsidDel="00000000" w:rsidP="00000000" w:rsidRDefault="00000000" w:rsidRPr="00000000" w14:paraId="000000CA">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CB">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crises macro numa escala mirco</w:t>
            </w:r>
          </w:p>
          <w:p w:rsidR="00000000" w:rsidDel="00000000" w:rsidP="00000000" w:rsidRDefault="00000000" w:rsidRPr="00000000" w14:paraId="000000CD">
            <w:pPr>
              <w:ind w:left="72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u w:val="single"/>
                <w:rtl w:val="0"/>
              </w:rPr>
              <w:t xml:space="preserve">Texto</w:t>
            </w:r>
            <w:r w:rsidDel="00000000" w:rsidR="00000000" w:rsidRPr="00000000">
              <w:rPr>
                <w:rFonts w:ascii="Times New Roman" w:cs="Times New Roman" w:eastAsia="Times New Roman" w:hAnsi="Times New Roman"/>
                <w:rtl w:val="0"/>
              </w:rPr>
              <w:t xml:space="preserve">: Valencia Villa, Carlos Eduardo. 2020. “Microfinances in the banking houses of Rio de Janeiro in 1864”. </w:t>
            </w:r>
            <w:r w:rsidDel="00000000" w:rsidR="00000000" w:rsidRPr="00000000">
              <w:rPr>
                <w:rFonts w:ascii="Times New Roman" w:cs="Times New Roman" w:eastAsia="Times New Roman" w:hAnsi="Times New Roman"/>
                <w:i w:val="1"/>
                <w:iCs w:val="1"/>
                <w:rtl w:val="0"/>
              </w:rPr>
              <w:t xml:space="preserve">Business History</w:t>
            </w:r>
            <w:r w:rsidDel="00000000" w:rsidR="00000000" w:rsidRPr="00000000">
              <w:rPr>
                <w:rFonts w:ascii="Times New Roman" w:cs="Times New Roman" w:eastAsia="Times New Roman" w:hAnsi="Times New Roman"/>
                <w:rtl w:val="0"/>
              </w:rPr>
              <w:t xml:space="preserve"> 62 (3): 509–35. </w:t>
            </w:r>
            <w:hyperlink r:id="rId23">
              <w:r w:rsidDel="00000000" w:rsidR="00000000" w:rsidRPr="00000000">
                <w:rPr>
                  <w:rFonts w:ascii="Times New Roman" w:cs="Times New Roman" w:eastAsia="Times New Roman" w:hAnsi="Times New Roman"/>
                  <w:color w:val="1155cc"/>
                  <w:u w:val="single"/>
                  <w:rtl w:val="0"/>
                </w:rPr>
                <w:t xml:space="preserve">https://doi.org/10.1080/00076791.2018.1454432</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CE">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30</w:t>
            </w:r>
          </w:p>
        </w:tc>
        <w:tc>
          <w:tcPr>
            <w:vAlign w:val="center"/>
          </w:tcPr>
          <w:p w:rsidR="00000000" w:rsidDel="00000000" w:rsidP="00000000" w:rsidRDefault="00000000" w:rsidRPr="00000000" w14:paraId="000000CF">
            <w:pPr>
              <w:widowControl w:val="1"/>
              <w:spacing w:after="0" w:before="0" w:line="240" w:lineRule="auto"/>
              <w:ind w:left="0"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D0">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Avaliação 5</w:t>
            </w: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0D2">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31</w:t>
            </w:r>
          </w:p>
        </w:tc>
        <w:tc>
          <w:tcPr>
            <w:vAlign w:val="center"/>
          </w:tcPr>
          <w:p w:rsidR="00000000" w:rsidDel="00000000" w:rsidP="00000000" w:rsidRDefault="00000000" w:rsidRPr="00000000" w14:paraId="000000D3">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vAlign w:val="center"/>
          </w:tcPr>
          <w:p w:rsidR="00000000" w:rsidDel="00000000" w:rsidP="00000000" w:rsidRDefault="00000000" w:rsidRPr="00000000" w14:paraId="000000D4">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p w:rsidR="00000000" w:rsidDel="00000000" w:rsidP="00000000" w:rsidRDefault="00000000" w:rsidRPr="00000000" w14:paraId="000000D5">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r>
      <w:tr>
        <w:trPr>
          <w:cantSplit w:val="0"/>
          <w:trHeight w:val="300" w:hRule="atLeast"/>
          <w:tblHeader w:val="0"/>
        </w:trPr>
        <w:tc>
          <w:tcPr>
            <w:tcBorders>
              <w:bottom w:color="000000" w:space="0" w:sz="6" w:val="single"/>
            </w:tcBorders>
            <w:vAlign w:val="center"/>
          </w:tcPr>
          <w:p w:rsidR="00000000" w:rsidDel="00000000" w:rsidP="00000000" w:rsidRDefault="00000000" w:rsidRPr="00000000" w14:paraId="000000D6">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32</w:t>
            </w:r>
          </w:p>
        </w:tc>
        <w:tc>
          <w:tcPr>
            <w:tcBorders>
              <w:bottom w:color="000000" w:space="0" w:sz="6" w:val="single"/>
            </w:tcBorders>
            <w:vAlign w:val="center"/>
          </w:tcPr>
          <w:p w:rsidR="00000000" w:rsidDel="00000000" w:rsidP="00000000" w:rsidRDefault="00000000" w:rsidRPr="00000000" w14:paraId="000000D7">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0D8">
            <w:pPr>
              <w:widowControl w:val="1"/>
              <w:spacing w:after="0" w:before="0" w:line="240" w:lineRule="auto"/>
              <w:ind w:firstLine="0"/>
              <w:jc w:val="center"/>
              <w:rPr>
                <w:rFonts w:ascii="Times New Roman" w:cs="Times New Roman" w:eastAsia="Times New Roman" w:hAnsi="Times New Roman"/>
                <w:b w:val="0"/>
                <w:bCs w:val="0"/>
                <w:i w:val="0"/>
                <w:iCs w:val="0"/>
                <w:color w:val="000000"/>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D9">
            <w:pPr>
              <w:ind w:left="720" w:firstLine="0"/>
              <w:jc w:val="both"/>
              <w:rPr>
                <w:rFonts w:ascii="Times New Roman" w:cs="Times New Roman" w:eastAsia="Times New Roman" w:hAnsi="Times New Roman"/>
                <w:b w:val="0"/>
                <w:bCs w:val="0"/>
                <w:i w:val="0"/>
                <w:iCs w:val="0"/>
                <w:color w:val="000000"/>
                <w:sz w:val="24"/>
                <w:szCs w:val="24"/>
              </w:rPr>
            </w:pPr>
            <w:r w:rsidDel="00000000" w:rsidR="00000000" w:rsidRPr="00000000">
              <w:rPr>
                <w:rtl w:val="0"/>
              </w:rPr>
            </w:r>
          </w:p>
        </w:tc>
      </w:tr>
    </w:tbl>
    <w:p w:rsidR="00000000" w:rsidDel="00000000" w:rsidP="00000000" w:rsidRDefault="00000000" w:rsidRPr="00000000" w14:paraId="000000DA">
      <w:pPr>
        <w:spacing w:line="240" w:lineRule="auto"/>
        <w:ind w:firstLine="0"/>
        <w:rPr>
          <w:rFonts w:ascii="UnB Office" w:cs="UnB Office" w:eastAsia="UnB Office" w:hAnsi="UnB Office"/>
          <w:b w:val="0"/>
          <w:bCs w:val="0"/>
          <w:i w:val="0"/>
          <w:iCs w:val="0"/>
          <w:smallCaps w:val="0"/>
          <w:color w:val="000000"/>
          <w:sz w:val="24"/>
          <w:szCs w:val="24"/>
        </w:rPr>
      </w:pPr>
      <w:r w:rsidDel="00000000" w:rsidR="00000000" w:rsidRPr="00000000">
        <w:rPr>
          <w:rtl w:val="0"/>
        </w:rPr>
      </w:r>
    </w:p>
    <w:tbl>
      <w:tblPr>
        <w:tblStyle w:val="Table9"/>
        <w:tblW w:w="9015.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DB">
            <w:pPr>
              <w:widowControl w:val="1"/>
              <w:tabs>
                <w:tab w:val="left" w:leader="none" w:pos="708"/>
                <w:tab w:val="left" w:leader="none" w:pos="1416"/>
                <w:tab w:val="left" w:leader="none" w:pos="2124"/>
                <w:tab w:val="left" w:leader="none" w:pos="2832"/>
                <w:tab w:val="left" w:leader="none" w:pos="3540"/>
                <w:tab w:val="left" w:leader="none" w:pos="4248"/>
              </w:tabs>
              <w:spacing w:after="0" w:before="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 xml:space="preserve">Bibliografia Complementar:</w:t>
            </w:r>
            <w:r w:rsidDel="00000000" w:rsidR="00000000" w:rsidRPr="00000000">
              <w:rPr>
                <w:rtl w:val="0"/>
              </w:rPr>
            </w:r>
          </w:p>
          <w:p w:rsidR="00000000" w:rsidDel="00000000" w:rsidP="00000000" w:rsidRDefault="00000000" w:rsidRPr="00000000" w14:paraId="000000DC">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1:</w:t>
            </w:r>
          </w:p>
          <w:p w:rsidR="00000000" w:rsidDel="00000000" w:rsidP="00000000" w:rsidRDefault="00000000" w:rsidRPr="00000000" w14:paraId="000000DD">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Assadourian, Carlos Sempat. 1982. </w:t>
            </w:r>
            <w:r w:rsidDel="00000000" w:rsidR="00000000" w:rsidRPr="00000000">
              <w:rPr>
                <w:rFonts w:ascii="Times New Roman" w:cs="Times New Roman" w:eastAsia="Times New Roman" w:hAnsi="Times New Roman"/>
                <w:i w:val="1"/>
                <w:iCs w:val="1"/>
                <w:rtl w:val="0"/>
              </w:rPr>
              <w:t xml:space="preserve">El sistema de la economía colonial. Mercado interno, regiones y espacio económico</w:t>
            </w:r>
            <w:r w:rsidDel="00000000" w:rsidR="00000000" w:rsidRPr="00000000">
              <w:rPr>
                <w:rFonts w:ascii="Times New Roman" w:cs="Times New Roman" w:eastAsia="Times New Roman" w:hAnsi="Times New Roman"/>
                <w:rtl w:val="0"/>
              </w:rPr>
              <w:t xml:space="preserve">. Instituto de estudios peruanos.</w:t>
            </w:r>
          </w:p>
          <w:p w:rsidR="00000000" w:rsidDel="00000000" w:rsidP="00000000" w:rsidRDefault="00000000" w:rsidRPr="00000000" w14:paraId="000000DE">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Kugler, e Peter Bernholz. 2007. </w:t>
            </w:r>
            <w:r w:rsidDel="00000000" w:rsidR="00000000" w:rsidRPr="00000000">
              <w:rPr>
                <w:rFonts w:ascii="Times New Roman" w:cs="Times New Roman" w:eastAsia="Times New Roman" w:hAnsi="Times New Roman"/>
                <w:i w:val="1"/>
                <w:iCs w:val="1"/>
                <w:rtl w:val="0"/>
              </w:rPr>
              <w:t xml:space="preserve">The Price Revolution in the 16th Century: Empirical Results from a Structural Vectorautoregression</w:t>
            </w:r>
            <w:r w:rsidDel="00000000" w:rsidR="00000000" w:rsidRPr="00000000">
              <w:rPr>
                <w:rFonts w:ascii="Times New Roman" w:cs="Times New Roman" w:eastAsia="Times New Roman" w:hAnsi="Times New Roman"/>
                <w:rtl w:val="0"/>
              </w:rPr>
              <w:t xml:space="preserve">  Model. WWZ Working Paper N. 12. University of Basel. </w:t>
            </w:r>
            <w:hyperlink r:id="rId24">
              <w:r w:rsidDel="00000000" w:rsidR="00000000" w:rsidRPr="00000000">
                <w:rPr>
                  <w:rFonts w:ascii="Times New Roman" w:cs="Times New Roman" w:eastAsia="Times New Roman" w:hAnsi="Times New Roman"/>
                  <w:color w:val="1155cc"/>
                  <w:u w:val="single"/>
                  <w:rtl w:val="0"/>
                </w:rPr>
                <w:t xml:space="preserve">https://edoc.unibas.ch/server/api/core/bitstreams/36fc1acd-4f28-4a3f-91f1-23de25765368/content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F">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Marsilio, Claudio. 2015. </w:t>
            </w:r>
            <w:r w:rsidDel="00000000" w:rsidR="00000000" w:rsidRPr="00000000">
              <w:rPr>
                <w:rFonts w:ascii="Times New Roman" w:cs="Times New Roman" w:eastAsia="Times New Roman" w:hAnsi="Times New Roman"/>
                <w:i w:val="1"/>
                <w:iCs w:val="1"/>
                <w:rtl w:val="0"/>
              </w:rPr>
              <w:t xml:space="preserve">“Which way to turn?” The destinations of the Spanish silver (1621-1650)</w:t>
            </w:r>
            <w:r w:rsidDel="00000000" w:rsidR="00000000" w:rsidRPr="00000000">
              <w:rPr>
                <w:rFonts w:ascii="Times New Roman" w:cs="Times New Roman" w:eastAsia="Times New Roman" w:hAnsi="Times New Roman"/>
                <w:rtl w:val="0"/>
              </w:rPr>
              <w:t xml:space="preserve">. London, Lisbon or Genoa? DT/WP nº 54. Instituto Superior de Economia e Gestão Universidade de Lisboa.</w:t>
            </w:r>
          </w:p>
          <w:p w:rsidR="00000000" w:rsidDel="00000000" w:rsidP="00000000" w:rsidRDefault="00000000" w:rsidRPr="00000000" w14:paraId="000000E0">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2:</w:t>
            </w:r>
          </w:p>
          <w:p w:rsidR="00000000" w:rsidDel="00000000" w:rsidP="00000000" w:rsidRDefault="00000000" w:rsidRPr="00000000" w14:paraId="000000E2">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Ball, D. E., e G. M. Walton. 1976. “Agricultural Productivity Change in Eighteenth-Century Pennsylvania”. The Journal of Economic History 36 (01): 102–17. </w:t>
            </w:r>
            <w:hyperlink r:id="rId25">
              <w:r w:rsidDel="00000000" w:rsidR="00000000" w:rsidRPr="00000000">
                <w:rPr>
                  <w:rFonts w:ascii="Times New Roman" w:cs="Times New Roman" w:eastAsia="Times New Roman" w:hAnsi="Times New Roman"/>
                  <w:color w:val="1155cc"/>
                  <w:u w:val="single"/>
                  <w:rtl w:val="0"/>
                </w:rPr>
                <w:t xml:space="preserve">https://doi.org/10.1017/S0022050700094547</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3">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Carrara, Angelo Alves. 2007. Minas e currais: produção rural e mercado interno em Minas Gerais, 1674-1807. Editora UFJF.</w:t>
            </w:r>
          </w:p>
          <w:p w:rsidR="00000000" w:rsidDel="00000000" w:rsidP="00000000" w:rsidRDefault="00000000" w:rsidRPr="00000000" w14:paraId="000000E4">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Nogues-Marco, Pilar. 2011. </w:t>
            </w:r>
            <w:r w:rsidDel="00000000" w:rsidR="00000000" w:rsidRPr="00000000">
              <w:rPr>
                <w:rFonts w:ascii="Times New Roman" w:cs="Times New Roman" w:eastAsia="Times New Roman" w:hAnsi="Times New Roman"/>
                <w:i w:val="1"/>
                <w:iCs w:val="1"/>
                <w:rtl w:val="0"/>
              </w:rPr>
              <w:t xml:space="preserve">The Microeconomics of Bullionism: Arbitrage, Smuggling and Silver Outflows in Spain in the Early 18th Century</w:t>
            </w:r>
            <w:r w:rsidDel="00000000" w:rsidR="00000000" w:rsidRPr="00000000">
              <w:rPr>
                <w:rFonts w:ascii="Times New Roman" w:cs="Times New Roman" w:eastAsia="Times New Roman" w:hAnsi="Times New Roman"/>
                <w:rtl w:val="0"/>
              </w:rPr>
              <w:t xml:space="preserve">. Working Papers in Economic History WP 11-05. Departam ento de Historia Económ ica e Instituciones. Universidad Carlos III.</w:t>
            </w:r>
            <w:r w:rsidDel="00000000" w:rsidR="00000000" w:rsidRPr="00000000">
              <w:rPr>
                <w:rtl w:val="0"/>
              </w:rPr>
            </w:r>
          </w:p>
          <w:p w:rsidR="00000000" w:rsidDel="00000000" w:rsidP="00000000" w:rsidRDefault="00000000" w:rsidRPr="00000000" w14:paraId="000000E5">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6">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3:</w:t>
            </w:r>
          </w:p>
          <w:p w:rsidR="00000000" w:rsidDel="00000000" w:rsidP="00000000" w:rsidRDefault="00000000" w:rsidRPr="00000000" w14:paraId="000000E7">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Allen, R. C. 2011. “Why the Industrial Revolution Was British: Commerce, Induced Invention, and the Scientific Revolution: Industrial Revolution”. </w:t>
            </w:r>
            <w:r w:rsidDel="00000000" w:rsidR="00000000" w:rsidRPr="00000000">
              <w:rPr>
                <w:rFonts w:ascii="Times New Roman" w:cs="Times New Roman" w:eastAsia="Times New Roman" w:hAnsi="Times New Roman"/>
                <w:i w:val="1"/>
                <w:iCs w:val="1"/>
                <w:rtl w:val="0"/>
              </w:rPr>
              <w:t xml:space="preserve">The Economic History Review</w:t>
            </w:r>
            <w:r w:rsidDel="00000000" w:rsidR="00000000" w:rsidRPr="00000000">
              <w:rPr>
                <w:rFonts w:ascii="Times New Roman" w:cs="Times New Roman" w:eastAsia="Times New Roman" w:hAnsi="Times New Roman"/>
                <w:rtl w:val="0"/>
              </w:rPr>
              <w:t xml:space="preserve"> 64 (2): 357–84. </w:t>
            </w:r>
            <w:hyperlink r:id="rId26">
              <w:r w:rsidDel="00000000" w:rsidR="00000000" w:rsidRPr="00000000">
                <w:rPr>
                  <w:rFonts w:ascii="Times New Roman" w:cs="Times New Roman" w:eastAsia="Times New Roman" w:hAnsi="Times New Roman"/>
                  <w:color w:val="1155cc"/>
                  <w:u w:val="single"/>
                  <w:rtl w:val="0"/>
                </w:rPr>
                <w:t xml:space="preserve">https://doi.org/10.1111/j.1468-0289.2010.00532.x</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8">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Jáuregui, Luis. "Los Problemas de la Administración Fiscal en los Últimos Años de la Nueva España, 1810-1821." </w:t>
            </w:r>
            <w:r w:rsidDel="00000000" w:rsidR="00000000" w:rsidRPr="00000000">
              <w:rPr>
                <w:rFonts w:ascii="Times New Roman" w:cs="Times New Roman" w:eastAsia="Times New Roman" w:hAnsi="Times New Roman"/>
                <w:i w:val="1"/>
                <w:iCs w:val="1"/>
                <w:rtl w:val="0"/>
              </w:rPr>
              <w:t xml:space="preserve">Revista de Historia Económica - Journal of Iberian and Latin American Economic History</w:t>
            </w:r>
            <w:r w:rsidDel="00000000" w:rsidR="00000000" w:rsidRPr="00000000">
              <w:rPr>
                <w:rFonts w:ascii="Times New Roman" w:cs="Times New Roman" w:eastAsia="Times New Roman" w:hAnsi="Times New Roman"/>
                <w:rtl w:val="0"/>
              </w:rPr>
              <w:t xml:space="preserve">, vol. 15, no. 1, 1997, pp. 45-72</w:t>
            </w:r>
          </w:p>
          <w:p w:rsidR="00000000" w:rsidDel="00000000" w:rsidP="00000000" w:rsidRDefault="00000000" w:rsidRPr="00000000" w14:paraId="000000E9">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Marichal, Carlos. 1999. </w:t>
            </w:r>
            <w:r w:rsidDel="00000000" w:rsidR="00000000" w:rsidRPr="00000000">
              <w:rPr>
                <w:rFonts w:ascii="Times New Roman" w:cs="Times New Roman" w:eastAsia="Times New Roman" w:hAnsi="Times New Roman"/>
                <w:i w:val="1"/>
                <w:iCs w:val="1"/>
                <w:rtl w:val="0"/>
              </w:rPr>
              <w:t xml:space="preserve">La Bancarrota del Virreinato, Nueva España y las Finanzas del Imperio Español, 1780-1810</w:t>
            </w:r>
            <w:r w:rsidDel="00000000" w:rsidR="00000000" w:rsidRPr="00000000">
              <w:rPr>
                <w:rFonts w:ascii="Times New Roman" w:cs="Times New Roman" w:eastAsia="Times New Roman" w:hAnsi="Times New Roman"/>
                <w:rtl w:val="0"/>
              </w:rPr>
              <w:t xml:space="preserve">. 1. ed. Serie Estudios / Fideicomiso Historia de las Américas. El Colegio de México, Fideicomiso Historia de las Américas: Fondo de Cultura Económica.</w:t>
            </w:r>
          </w:p>
          <w:p w:rsidR="00000000" w:rsidDel="00000000" w:rsidP="00000000" w:rsidRDefault="00000000" w:rsidRPr="00000000" w14:paraId="000000EA">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4:</w:t>
            </w:r>
          </w:p>
          <w:p w:rsidR="00000000" w:rsidDel="00000000" w:rsidP="00000000" w:rsidRDefault="00000000" w:rsidRPr="00000000" w14:paraId="000000EC">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Kindleberger, Charles P., e Robert Z. Aliber. 2012. Manías, Pánicos y Cracs Historia de Las Crisis Financieras. Ariel.</w:t>
            </w:r>
          </w:p>
          <w:p w:rsidR="00000000" w:rsidDel="00000000" w:rsidP="00000000" w:rsidRDefault="00000000" w:rsidRPr="00000000" w14:paraId="000000E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Tilly, Richard H. 2008. “Banking Crises in Comparative and Historical Perspective: the Nineteenth Century”. Trabalho em evento presented em Wirtschaftshistorischer Ausschuss.</w:t>
            </w:r>
          </w:p>
          <w:p w:rsidR="00000000" w:rsidDel="00000000" w:rsidP="00000000" w:rsidRDefault="00000000" w:rsidRPr="00000000" w14:paraId="000000EE">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Wallis, John Joseph. 2001. What Caused the Crisis of 1839? Historical Paper N. 133. National Bureau of Economic Research. </w:t>
            </w:r>
            <w:hyperlink r:id="rId27">
              <w:r w:rsidDel="00000000" w:rsidR="00000000" w:rsidRPr="00000000">
                <w:rPr>
                  <w:rFonts w:ascii="Times New Roman" w:cs="Times New Roman" w:eastAsia="Times New Roman" w:hAnsi="Times New Roman"/>
                  <w:color w:val="1155cc"/>
                  <w:u w:val="single"/>
                  <w:rtl w:val="0"/>
                </w:rPr>
                <w:t xml:space="preserve">https://www.nber.org/system/files/working_papers/h0133/h0133.pdf</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F">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0">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Crise 5:</w:t>
            </w:r>
            <w:r w:rsidDel="00000000" w:rsidR="00000000" w:rsidRPr="00000000">
              <w:rPr>
                <w:rtl w:val="0"/>
              </w:rPr>
            </w:r>
          </w:p>
        </w:tc>
      </w:tr>
    </w:tbl>
    <w:p w:rsidR="00000000" w:rsidDel="00000000" w:rsidP="00000000" w:rsidRDefault="00000000" w:rsidRPr="00000000" w14:paraId="000000F1">
      <w:pPr>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Gómez-León, María. 2015. The Rise of the Middle Class, Brazil (1839-1950). N. 91. EHES Working Paper. Universidad Carlos III de Madrid.</w:t>
      </w:r>
    </w:p>
    <w:p w:rsidR="00000000" w:rsidDel="00000000" w:rsidP="00000000" w:rsidRDefault="00000000" w:rsidRPr="00000000" w14:paraId="000000F2">
      <w:pPr>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Ó Gráda, Comarc, e Eugene White. 2002. Who Panics During Panics? Evidence from a Nineteenth Century Savings Bank. Working Paper N. 8856. NBER. https://www.nber.org/system/files/working_papers/w8856/w8856.pdf.</w:t>
      </w:r>
    </w:p>
    <w:p w:rsidR="00000000" w:rsidDel="00000000" w:rsidP="00000000" w:rsidRDefault="00000000" w:rsidRPr="00000000" w14:paraId="000000F3">
      <w:pPr>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Zegarra, Luis Felipe. 2007. “La Banca en América Latina, 1850-1930: un análisis de las causas del desarrollo bancario”. Revista de Temas Financieros (Lima, Perú).</w:t>
      </w:r>
    </w:p>
    <w:p w:rsidR="00000000" w:rsidDel="00000000" w:rsidP="00000000" w:rsidRDefault="00000000" w:rsidRPr="00000000" w14:paraId="000000F4">
      <w:pPr>
        <w:spacing w:after="160" w:before="0" w:lineRule="auto"/>
        <w:rPr>
          <w:rFonts w:ascii="UnB Office" w:cs="UnB Office" w:eastAsia="UnB Office" w:hAnsi="UnB Office"/>
        </w:rPr>
      </w:pPr>
      <w:r w:rsidDel="00000000" w:rsidR="00000000" w:rsidRPr="00000000">
        <w:rPr>
          <w:rtl w:val="0"/>
        </w:rPr>
      </w:r>
    </w:p>
    <w:sectPr>
      <w:headerReference r:id="rId28" w:type="default"/>
      <w:headerReference r:id="rId29" w:type="first"/>
      <w:headerReference r:id="rId30" w:type="even"/>
      <w:footerReference r:id="rId31" w:type="default"/>
      <w:footerReference r:id="rId32" w:type="first"/>
      <w:footerReference r:id="rId33" w:type="even"/>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UnB Offic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635</wp:posOffset>
          </wp:positionV>
          <wp:extent cx="2760980" cy="97155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0980" cy="971550"/>
                  </a:xfrm>
                  <a:prstGeom prst="rect"/>
                  <a:ln/>
                </pic:spPr>
              </pic:pic>
            </a:graphicData>
          </a:graphic>
        </wp:anchor>
      </w:drawing>
    </w:r>
  </w:p>
  <w:p w:rsidR="00000000" w:rsidDel="00000000" w:rsidP="00000000" w:rsidRDefault="00000000" w:rsidRPr="00000000" w14:paraId="000000F7">
    <w:pPr>
      <w:spacing w:after="0" w:before="0" w:line="240" w:lineRule="auto"/>
      <w:rPr>
        <w:rFonts w:ascii="UnB Office" w:cs="UnB Office" w:eastAsia="UnB Office" w:hAnsi="UnB Office"/>
        <w:b w:val="1"/>
        <w:bCs w:val="1"/>
        <w:sz w:val="24"/>
        <w:szCs w:val="24"/>
      </w:rPr>
    </w:pPr>
    <w:r w:rsidDel="00000000" w:rsidR="00000000" w:rsidRPr="00000000">
      <w:rPr>
        <w:rtl w:val="0"/>
      </w:rPr>
    </w:r>
  </w:p>
  <w:p w:rsidR="00000000" w:rsidDel="00000000" w:rsidP="00000000" w:rsidRDefault="00000000" w:rsidRPr="00000000" w14:paraId="000000F8">
    <w:pPr>
      <w:spacing w:after="0" w:before="0" w:line="240" w:lineRule="auto"/>
      <w:jc w:val="right"/>
      <w:rPr>
        <w:rFonts w:ascii="UnB Office" w:cs="UnB Office" w:eastAsia="UnB Office" w:hAnsi="UnB Office"/>
        <w:b w:val="1"/>
        <w:bCs w:val="1"/>
        <w:sz w:val="20"/>
        <w:szCs w:val="20"/>
      </w:rPr>
    </w:pPr>
    <w:r w:rsidDel="00000000" w:rsidR="00000000" w:rsidRPr="00000000">
      <w:rPr>
        <w:rFonts w:ascii="UnB Office" w:cs="UnB Office" w:eastAsia="UnB Office" w:hAnsi="UnB Office"/>
        <w:b w:val="1"/>
        <w:bCs w:val="1"/>
        <w:sz w:val="20"/>
        <w:szCs w:val="20"/>
        <w:rtl w:val="0"/>
      </w:rPr>
      <w:t xml:space="preserve">Instituto de Ciências Humanas</w:t>
    </w:r>
  </w:p>
  <w:p w:rsidR="00000000" w:rsidDel="00000000" w:rsidP="00000000" w:rsidRDefault="00000000" w:rsidRPr="00000000" w14:paraId="000000F9">
    <w:pPr>
      <w:spacing w:after="0" w:before="0" w:line="240" w:lineRule="auto"/>
      <w:jc w:val="right"/>
      <w:rPr>
        <w:rFonts w:ascii="UnB Office" w:cs="UnB Office" w:eastAsia="UnB Office" w:hAnsi="UnB Office"/>
        <w:b w:val="1"/>
        <w:bCs w:val="1"/>
        <w:sz w:val="20"/>
        <w:szCs w:val="20"/>
      </w:rPr>
    </w:pPr>
    <w:r w:rsidDel="00000000" w:rsidR="00000000" w:rsidRPr="00000000">
      <w:rPr>
        <w:rFonts w:ascii="UnB Office" w:cs="UnB Office" w:eastAsia="UnB Office" w:hAnsi="UnB Office"/>
        <w:b w:val="1"/>
        <w:bCs w:val="1"/>
        <w:sz w:val="20"/>
        <w:szCs w:val="20"/>
        <w:rtl w:val="0"/>
      </w:rPr>
      <w:t xml:space="preserve">Departamento de História</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635</wp:posOffset>
          </wp:positionV>
          <wp:extent cx="2760980" cy="97155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0980" cy="971550"/>
                  </a:xfrm>
                  <a:prstGeom prst="rect"/>
                  <a:ln/>
                </pic:spPr>
              </pic:pic>
            </a:graphicData>
          </a:graphic>
        </wp:anchor>
      </w:drawing>
    </w:r>
  </w:p>
  <w:p w:rsidR="00000000" w:rsidDel="00000000" w:rsidP="00000000" w:rsidRDefault="00000000" w:rsidRPr="00000000" w14:paraId="000000FE">
    <w:pPr>
      <w:spacing w:after="0" w:before="0" w:line="240" w:lineRule="auto"/>
      <w:rPr>
        <w:rFonts w:ascii="UnB Office" w:cs="UnB Office" w:eastAsia="UnB Office" w:hAnsi="UnB Office"/>
        <w:b w:val="1"/>
        <w:bCs w:val="1"/>
        <w:sz w:val="24"/>
        <w:szCs w:val="24"/>
      </w:rPr>
    </w:pPr>
    <w:r w:rsidDel="00000000" w:rsidR="00000000" w:rsidRPr="00000000">
      <w:rPr>
        <w:rtl w:val="0"/>
      </w:rPr>
    </w:r>
  </w:p>
  <w:p w:rsidR="00000000" w:rsidDel="00000000" w:rsidP="00000000" w:rsidRDefault="00000000" w:rsidRPr="00000000" w14:paraId="000000FF">
    <w:pPr>
      <w:spacing w:after="0" w:before="0" w:line="240" w:lineRule="auto"/>
      <w:rPr>
        <w:rFonts w:ascii="UnB Office" w:cs="UnB Office" w:eastAsia="UnB Office" w:hAnsi="UnB Office"/>
        <w:b w:val="1"/>
        <w:bCs w:val="1"/>
        <w:sz w:val="20"/>
        <w:szCs w:val="20"/>
      </w:rPr>
    </w:pPr>
    <w:r w:rsidDel="00000000" w:rsidR="00000000" w:rsidRPr="00000000">
      <w:rPr>
        <w:rFonts w:ascii="UnB Office" w:cs="UnB Office" w:eastAsia="UnB Office" w:hAnsi="UnB Office"/>
        <w:b w:val="1"/>
        <w:bCs w:val="1"/>
        <w:sz w:val="20"/>
        <w:szCs w:val="20"/>
        <w:rtl w:val="0"/>
      </w:rPr>
      <w:t xml:space="preserve">Instituto de Ciências Humanas</w:t>
    </w:r>
  </w:p>
  <w:p w:rsidR="00000000" w:rsidDel="00000000" w:rsidP="00000000" w:rsidRDefault="00000000" w:rsidRPr="00000000" w14:paraId="00000100">
    <w:pPr>
      <w:spacing w:after="0" w:before="0" w:line="240" w:lineRule="auto"/>
      <w:rPr>
        <w:rFonts w:ascii="UnB Office" w:cs="UnB Office" w:eastAsia="UnB Office" w:hAnsi="UnB Office"/>
        <w:b w:val="1"/>
        <w:bCs w:val="1"/>
        <w:sz w:val="20"/>
        <w:szCs w:val="20"/>
      </w:rPr>
    </w:pPr>
    <w:r w:rsidDel="00000000" w:rsidR="00000000" w:rsidRPr="00000000">
      <w:rPr>
        <w:rFonts w:ascii="UnB Office" w:cs="UnB Office" w:eastAsia="UnB Office" w:hAnsi="UnB Office"/>
        <w:b w:val="1"/>
        <w:bCs w:val="1"/>
        <w:sz w:val="20"/>
        <w:szCs w:val="20"/>
        <w:rtl w:val="0"/>
      </w:rPr>
      <w:t xml:space="preserve">Departamento de História</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8232/20073496.649" TargetMode="External"/><Relationship Id="rId22" Type="http://schemas.openxmlformats.org/officeDocument/2006/relationships/hyperlink" Target="http://www.abphe.org.br/congresso1999/Textos/ANDRE.pdf" TargetMode="External"/><Relationship Id="rId21" Type="http://schemas.openxmlformats.org/officeDocument/2006/relationships/hyperlink" Target="https://doi.org/10.1353/jwh.0.0053" TargetMode="External"/><Relationship Id="rId24" Type="http://schemas.openxmlformats.org/officeDocument/2006/relationships/hyperlink" Target="https://edoc.unibas.ch/server/api/core/bitstreams/36fc1acd-4f28-4a3f-91f1-23de25765368/content" TargetMode="External"/><Relationship Id="rId23" Type="http://schemas.openxmlformats.org/officeDocument/2006/relationships/hyperlink" Target="https://doi.org/10.1080/00076791.2018.145443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tmuseum.org/es/art/collection" TargetMode="External"/><Relationship Id="rId26" Type="http://schemas.openxmlformats.org/officeDocument/2006/relationships/hyperlink" Target="https://doi.org/10.1111/j.1468-0289.2010.00532.x" TargetMode="External"/><Relationship Id="rId25" Type="http://schemas.openxmlformats.org/officeDocument/2006/relationships/hyperlink" Target="https://doi.org/10.1017/S0022050700094547" TargetMode="External"/><Relationship Id="rId28" Type="http://schemas.openxmlformats.org/officeDocument/2006/relationships/header" Target="header2.xml"/><Relationship Id="rId27" Type="http://schemas.openxmlformats.org/officeDocument/2006/relationships/hyperlink" Target="https://www.nber.org/system/files/working_papers/h0133/h0133.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mailto:cvalencia@id.uff.br" TargetMode="External"/><Relationship Id="rId8" Type="http://schemas.openxmlformats.org/officeDocument/2006/relationships/hyperlink" Target="https://drive.google.com/drive/folders/1lT6gZItZf9Xl_4ibaCWaofHkEY6-iNCh?usp=drive_link" TargetMode="External"/><Relationship Id="rId31" Type="http://schemas.openxmlformats.org/officeDocument/2006/relationships/footer" Target="footer2.xml"/><Relationship Id="rId30" Type="http://schemas.openxmlformats.org/officeDocument/2006/relationships/header" Target="header1.xml"/><Relationship Id="rId11" Type="http://schemas.openxmlformats.org/officeDocument/2006/relationships/hyperlink" Target="https://colecciones.banrepcultural.org/es/pagina/coleccion-de-arte/6357aa7ae27d753f221c618d" TargetMode="External"/><Relationship Id="rId33" Type="http://schemas.openxmlformats.org/officeDocument/2006/relationships/footer" Target="footer1.xml"/><Relationship Id="rId10" Type="http://schemas.openxmlformats.org/officeDocument/2006/relationships/hyperlink" Target="https://www.museomac.org/arte/exhibiciones" TargetMode="External"/><Relationship Id="rId32" Type="http://schemas.openxmlformats.org/officeDocument/2006/relationships/footer" Target="footer3.xml"/><Relationship Id="rId13" Type="http://schemas.openxmlformats.org/officeDocument/2006/relationships/hyperlink" Target="https://malba.org.ar/" TargetMode="External"/><Relationship Id="rId12" Type="http://schemas.openxmlformats.org/officeDocument/2006/relationships/hyperlink" Target="https://maclima.pe/exposiciones/" TargetMode="External"/><Relationship Id="rId15" Type="http://schemas.openxmlformats.org/officeDocument/2006/relationships/hyperlink" Target="https://doi.org/10.1017/S0212610915000282" TargetMode="External"/><Relationship Id="rId14" Type="http://schemas.openxmlformats.org/officeDocument/2006/relationships/hyperlink" Target="https://doi.org/10.34019/2594-8296.2008.v14.31574" TargetMode="External"/><Relationship Id="rId17" Type="http://schemas.openxmlformats.org/officeDocument/2006/relationships/hyperlink" Target="https://doi.org/10.1007/s11698-024-00288-1" TargetMode="External"/><Relationship Id="rId16" Type="http://schemas.openxmlformats.org/officeDocument/2006/relationships/hyperlink" Target="https://mpra.ub.uni-muenchen.de/10849/1/MPRA_paper_10849.pdf" TargetMode="External"/><Relationship Id="rId19" Type="http://schemas.openxmlformats.org/officeDocument/2006/relationships/hyperlink" Target="https://doi.org/10.1017/S0212610914000135" TargetMode="External"/><Relationship Id="rId18" Type="http://schemas.openxmlformats.org/officeDocument/2006/relationships/hyperlink" Target="https://doi.org/10.1111/ehr.7005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BRlEtmP2HajHfF/Q72IV5CJ8bA==">CgMxLjA4AHIhMVRJeGlxSjlTTUdLb1lVLThvT0dZRlRMRHpnY085R002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